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8A8A8A"/>
          <w:sz w:val="20"/>
        </w:rPr>
        <w:t>SSLM · Simple Solution, Low Maintenance</w:t>
      </w:r>
    </w:p>
    <w:p>
      <w:r>
        <w:rPr>
          <w:rFonts w:ascii="Calibri" w:hAnsi="Calibri"/>
          <w:b/>
          <w:color w:val="1F3864"/>
          <w:sz w:val="56"/>
        </w:rPr>
        <w:t>SSLM Alongside PRINCE2, PMBOK and SAFe</w:t>
      </w:r>
    </w:p>
    <w:p>
      <w:r>
        <w:rPr>
          <w:color w:val="595959"/>
          <w:sz w:val="26"/>
        </w:rPr>
        <w:t>A lightweight governance layer, not a replacement — Enterprise Extension</w:t>
      </w:r>
    </w:p>
    <w:p>
      <w:pPr/>
      <w:r>
        <w:t>Purpose. Many organisations already mandate PRINCE2, PMBOK or SAFe. SSLM doesn't require replacing them. It's a governance and reporting layer that sits over an existing method — adding roll-up, proportional governance and the eleven principles, while reusing the method's artefacts where they exist. Adoption is additive, not rip-and-replace.</w:t>
      </w:r>
    </w:p>
    <w:p>
      <w:pPr>
        <w:pStyle w:val="Heading1"/>
      </w:pPr>
      <w:r>
        <w:t>1. How SSLM concepts map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</w:rPr>
              <w:t>SSLM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PRINCE2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PMBOK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SAFe</w:t>
            </w:r>
          </w:p>
        </w:tc>
      </w:tr>
      <w:tr>
        <w:tc>
          <w:tcPr>
            <w:tcW w:type="dxa" w:w="2160"/>
          </w:tcPr>
          <w:p>
            <w:r>
              <w:t>Tiered kit (start small, add on trigger)</w:t>
            </w:r>
          </w:p>
        </w:tc>
        <w:tc>
          <w:tcPr>
            <w:tcW w:type="dxa" w:w="2160"/>
          </w:tcPr>
          <w:p>
            <w:r>
              <w:t>Tailoring to suit the project</w:t>
            </w:r>
          </w:p>
        </w:tc>
        <w:tc>
          <w:tcPr>
            <w:tcW w:type="dxa" w:w="2160"/>
          </w:tcPr>
          <w:p>
            <w:r>
              <w:t>Tailoring</w:t>
            </w:r>
          </w:p>
        </w:tc>
        <w:tc>
          <w:tcPr>
            <w:tcW w:type="dxa" w:w="2160"/>
          </w:tcPr>
          <w:p>
            <w:r>
              <w:t>Configuration (Essential → Full)</w:t>
            </w:r>
          </w:p>
        </w:tc>
      </w:tr>
      <w:tr>
        <w:tc>
          <w:tcPr>
            <w:tcW w:type="dxa" w:w="2160"/>
          </w:tcPr>
          <w:p>
            <w:r>
              <w:t>Green Light gate</w:t>
            </w:r>
          </w:p>
        </w:tc>
        <w:tc>
          <w:tcPr>
            <w:tcW w:type="dxa" w:w="2160"/>
          </w:tcPr>
          <w:p>
            <w:r>
              <w:t>Authorise initiation / stage boundary</w:t>
            </w:r>
          </w:p>
        </w:tc>
        <w:tc>
          <w:tcPr>
            <w:tcW w:type="dxa" w:w="2160"/>
          </w:tcPr>
          <w:p>
            <w:r>
              <w:t>Charter approval</w:t>
            </w:r>
          </w:p>
        </w:tc>
        <w:tc>
          <w:tcPr>
            <w:tcW w:type="dxa" w:w="2160"/>
          </w:tcPr>
          <w:p>
            <w:r>
              <w:t>Epic approval / PI planning</w:t>
            </w:r>
          </w:p>
        </w:tc>
      </w:tr>
      <w:tr>
        <w:tc>
          <w:tcPr>
            <w:tcW w:type="dxa" w:w="2160"/>
          </w:tcPr>
          <w:p>
            <w:r>
              <w:t>Business Case + strategic link</w:t>
            </w:r>
          </w:p>
        </w:tc>
        <w:tc>
          <w:tcPr>
            <w:tcW w:type="dxa" w:w="2160"/>
          </w:tcPr>
          <w:p>
            <w:r>
              <w:t>Business Case theme</w:t>
            </w:r>
          </w:p>
        </w:tc>
        <w:tc>
          <w:tcPr>
            <w:tcW w:type="dxa" w:w="2160"/>
          </w:tcPr>
          <w:p>
            <w:r>
              <w:t>Business case / benefits plan</w:t>
            </w:r>
          </w:p>
        </w:tc>
        <w:tc>
          <w:tcPr>
            <w:tcW w:type="dxa" w:w="2160"/>
          </w:tcPr>
          <w:p>
            <w:r>
              <w:t>Lean business case / epic hypothesis</w:t>
            </w:r>
          </w:p>
        </w:tc>
      </w:tr>
      <w:tr>
        <w:tc>
          <w:tcPr>
            <w:tcW w:type="dxa" w:w="2160"/>
          </w:tcPr>
          <w:p>
            <w:r>
              <w:t>RAID + roll-up</w:t>
            </w:r>
          </w:p>
        </w:tc>
        <w:tc>
          <w:tcPr>
            <w:tcW w:type="dxa" w:w="2160"/>
          </w:tcPr>
          <w:p>
            <w:r>
              <w:t>Risk theme; highlight &amp; exception reports</w:t>
            </w:r>
          </w:p>
        </w:tc>
        <w:tc>
          <w:tcPr>
            <w:tcW w:type="dxa" w:w="2160"/>
          </w:tcPr>
          <w:p>
            <w:r>
              <w:t>Risk register; issue log</w:t>
            </w:r>
          </w:p>
        </w:tc>
        <w:tc>
          <w:tcPr>
            <w:tcW w:type="dxa" w:w="2160"/>
          </w:tcPr>
          <w:p>
            <w:r>
              <w:t>ROAMed risks; flow metrics</w:t>
            </w:r>
          </w:p>
        </w:tc>
      </w:tr>
      <w:tr>
        <w:tc>
          <w:tcPr>
            <w:tcW w:type="dxa" w:w="2160"/>
          </w:tcPr>
          <w:p>
            <w:r>
              <w:t>Weekly report</w:t>
            </w:r>
          </w:p>
        </w:tc>
        <w:tc>
          <w:tcPr>
            <w:tcW w:type="dxa" w:w="2160"/>
          </w:tcPr>
          <w:p>
            <w:r>
              <w:t>Highlight Report</w:t>
            </w:r>
          </w:p>
        </w:tc>
        <w:tc>
          <w:tcPr>
            <w:tcW w:type="dxa" w:w="2160"/>
          </w:tcPr>
          <w:p>
            <w:r>
              <w:t>Status / performance reports</w:t>
            </w:r>
          </w:p>
        </w:tc>
        <w:tc>
          <w:tcPr>
            <w:tcW w:type="dxa" w:w="2160"/>
          </w:tcPr>
          <w:p>
            <w:r>
              <w:t>ART sync / status</w:t>
            </w:r>
          </w:p>
        </w:tc>
      </w:tr>
      <w:tr>
        <w:tc>
          <w:tcPr>
            <w:tcW w:type="dxa" w:w="2160"/>
          </w:tcPr>
          <w:p>
            <w:r>
              <w:t>SteerCo</w:t>
            </w:r>
          </w:p>
        </w:tc>
        <w:tc>
          <w:tcPr>
            <w:tcW w:type="dxa" w:w="2160"/>
          </w:tcPr>
          <w:p>
            <w:r>
              <w:t>Project Board</w:t>
            </w:r>
          </w:p>
        </w:tc>
        <w:tc>
          <w:tcPr>
            <w:tcW w:type="dxa" w:w="2160"/>
          </w:tcPr>
          <w:p>
            <w:r>
              <w:t>Steering committee</w:t>
            </w:r>
          </w:p>
        </w:tc>
        <w:tc>
          <w:tcPr>
            <w:tcW w:type="dxa" w:w="2160"/>
          </w:tcPr>
          <w:p>
            <w:r>
              <w:t>Lean Portfolio Management</w:t>
            </w:r>
          </w:p>
        </w:tc>
      </w:tr>
      <w:tr>
        <w:tc>
          <w:tcPr>
            <w:tcW w:type="dxa" w:w="2160"/>
          </w:tcPr>
          <w:p>
            <w:r>
              <w:t>Closure + benefits</w:t>
            </w:r>
          </w:p>
        </w:tc>
        <w:tc>
          <w:tcPr>
            <w:tcW w:type="dxa" w:w="2160"/>
          </w:tcPr>
          <w:p>
            <w:r>
              <w:t>Closing a Project; Benefits Review</w:t>
            </w:r>
          </w:p>
        </w:tc>
        <w:tc>
          <w:tcPr>
            <w:tcW w:type="dxa" w:w="2160"/>
          </w:tcPr>
          <w:p>
            <w:r>
              <w:t>Close project; benefits realisation</w:t>
            </w:r>
          </w:p>
        </w:tc>
        <w:tc>
          <w:tcPr>
            <w:tcW w:type="dxa" w:w="2160"/>
          </w:tcPr>
          <w:p>
            <w:r>
              <w:t>Epic done; value delivered</w:t>
            </w:r>
          </w:p>
        </w:tc>
      </w:tr>
    </w:tbl>
    <w:p/>
    <w:p>
      <w:pPr>
        <w:pStyle w:val="Heading1"/>
      </w:pPr>
      <w:r>
        <w:t>2. What SSLM adds</w:t>
      </w:r>
    </w:p>
    <w:p>
      <w:pPr/>
      <w:r>
        <w:t>Over the top of any of these, SSLM contributes what they under-emphasise: the roll-up discipline (compose reports, don't re-author them), the Design Principles (buy, adapt, automate; access over ownership), and an aggressive fit-for-purpose, least-sufficient-process posture. The incumbent supplies the detailed method where mandated; SSLM supplies the lightweight governance and the philosophy.</w:t>
      </w:r>
    </w:p>
    <w:p>
      <w:pPr>
        <w:pStyle w:val="Heading1"/>
      </w:pPr>
      <w:r>
        <w:t>3. Adoption paths</w:t>
      </w:r>
    </w:p>
    <w:p>
      <w:pPr>
        <w:pStyle w:val="ListBullet"/>
      </w:pPr>
      <w:r>
        <w:t>Over the top — keep the mandated method; adopt SSLM's roll-up, weekly cadence and principles as the governance skin. Best where a method cannot be dropped.</w:t>
      </w:r>
    </w:p>
    <w:p>
      <w:pPr>
        <w:pStyle w:val="ListBullet"/>
      </w:pPr>
      <w:r>
        <w:t>Small-end replacement — use SSLM standalone for small, nimble work where the incumbent is too heavy, and the incumbent for large mandated programs.</w:t>
      </w:r>
    </w:p>
    <w:p>
      <w:pPr>
        <w:pStyle w:val="ListBullet"/>
      </w:pPr>
      <w:r>
        <w:t>Graduate — start small teams on SSLM and map up to the incumbent as they scale.</w:t>
      </w:r>
    </w:p>
    <w:p>
      <w:pPr>
        <w:pStyle w:val="Heading1"/>
      </w:pPr>
      <w:r>
        <w:t>4. Boundary</w:t>
      </w:r>
    </w:p>
    <w:p>
      <w:pPr/>
      <w:r>
        <w:t>SSLM is not a certification or a detailed body of knowledge; it does not replace PMBOK's knowledge areas or PRINCE2's processes. Where a mandated method exists, honour it — SSLM organises and lightens it.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F3864"/>
    <w:rsid w:val="001F3864"/>
    <w:rsid w:val="002E5496"/>
    <w:rsid w:val="002E5496"/>
    <w:rsid w:val="001F38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1F3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