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color w:val="8A8A8A"/>
          <w:sz w:val="20"/>
        </w:rPr>
        <w:t>SSLM · Simple Solution, Low Maintenance</w:t>
      </w:r>
    </w:p>
    <w:p>
      <w:r>
        <w:rPr>
          <w:rFonts w:ascii="Calibri" w:hAnsi="Calibri"/>
          <w:b/>
          <w:color w:val="1F3864"/>
          <w:sz w:val="56"/>
        </w:rPr>
        <w:t>The EPMO Build &amp; Maturity Guide</w:t>
      </w:r>
    </w:p>
    <w:p>
      <w:r>
        <w:rPr>
          <w:color w:val="595959"/>
          <w:sz w:val="26"/>
        </w:rPr>
        <w:t>Standing up and maturing a portfolio office — Enterprise Extension, Tier 4</w:t>
      </w:r>
    </w:p>
    <w:p>
      <w:pPr/>
      <w:r>
        <w:t>Purpose. An EPMO (Enterprise/Portfolio Management Office) coordinates SSLM across many projects and programs. This guide covers standing one up and maturing it over time — a different job from running any single project, and worth its own guidance.</w:t>
      </w:r>
    </w:p>
    <w:p>
      <w:pPr/>
      <w:r>
        <w:t>What's inside: getting the people right, structuring the function holistically, the build-vs-maintain distinction, phased rollout, sustaining buy-in, and the steady state.</w:t>
      </w:r>
    </w:p>
    <w:p>
      <w:pPr>
        <w:pStyle w:val="Heading1"/>
      </w:pPr>
      <w:r>
        <w:t>1. When this applies</w:t>
      </w:r>
    </w:p>
    <w:p>
      <w:pPr/>
      <w:r>
        <w:t>Triggered only when an organisation needs a standing office to run its portfolio (Tier 4). Most organisations using SSLM will run projects and programs without ever needing this guide.</w:t>
      </w:r>
    </w:p>
    <w:p>
      <w:pPr>
        <w:pStyle w:val="Heading1"/>
      </w:pPr>
      <w:r>
        <w:t>2. Get the people right first</w:t>
      </w:r>
    </w:p>
    <w:p>
      <w:pPr/>
      <w:r>
        <w:t>The most important decision in standing up an EPMO is who fills each role — capability, character and drive matter more than the org chart. Start with senior or lead roles and work down, since early hires shape how the function operates from the outset.</w:t>
      </w:r>
    </w:p>
    <w:p>
      <w:pPr>
        <w:pStyle w:val="Heading1"/>
      </w:pPr>
      <w:r>
        <w:t>3. Structure the function holistically</w:t>
      </w:r>
    </w:p>
    <w:p>
      <w:pPr/>
      <w:r>
        <w:t>Design the EPMO as a whole system — strategy, structure, process, people and reward together — rather than reactively adding roles as problems appear. A patchy, reactive build produces an inconsistent function that struggles to scale.</w:t>
      </w:r>
    </w:p>
    <w:p>
      <w:pPr>
        <w:pStyle w:val="Heading1"/>
      </w:pPr>
      <w:r>
        <w:t>4. Building and maintaining are different jobs</w:t>
      </w:r>
    </w:p>
    <w:p>
      <w:pPr/>
      <w:r>
        <w:t>The skills needed to stand up an EPMO — design, negotiation, change management — are not the same as the skills needed to run it day to day — governance discipline, reporting rigour, relationship maintenance. Plan an explicit handover point between the two rather than assuming the build team stays forever.</w:t>
      </w:r>
    </w:p>
    <w:p>
      <w:pPr>
        <w:pStyle w:val="Heading1"/>
      </w:pPr>
      <w:r>
        <w:t>5. Roll out in phases, matched to real capacity</w:t>
      </w:r>
    </w:p>
    <w:p>
      <w:pPr/>
      <w:r>
        <w:t>Take small steps. Don't scale the EPMO's ambition faster than the capability and bandwidth of its own resources — this is Principle 5 (Prioritise) applied to standing up the function itself, not just to running a project.</w:t>
      </w:r>
    </w:p>
    <w:p>
      <w:pPr/>
      <w:r>
        <w:t>Adjust the rollout based on feedback and lessons learned as the function matures — Principle 11 (Learn and improve), applied to the EPMO's own build.</w:t>
      </w:r>
    </w:p>
    <w:p>
      <w:pPr>
        <w:pStyle w:val="Heading1"/>
      </w:pPr>
      <w:r>
        <w:t>6. Document buy-in, don't assume it</w:t>
      </w:r>
    </w:p>
    <w:p>
      <w:pPr/>
      <w:r>
        <w:t>Executive sponsorship should be explicit and recorded, not assumed. Get buy-in from the team, leadership, and business partners too — an EPMO with support only at the top will struggle at the delivery layer.</w:t>
      </w:r>
    </w:p>
    <w:p>
      <w:pPr>
        <w:pStyle w:val="Heading1"/>
      </w:pPr>
      <w:r>
        <w:t>7. Communicate relentlessly</w:t>
      </w:r>
    </w:p>
    <w:p>
      <w:pPr/>
      <w:r>
        <w:t>Over-communicate the EPMO's purpose, how it adds value, and why it's good for the business units it serves. A function seen as pure overhead will be resisted regardless of how well it's designed.</w:t>
      </w:r>
    </w:p>
    <w:p>
      <w:pPr>
        <w:pStyle w:val="Heading1"/>
      </w:pPr>
      <w:r>
        <w:t>8. Willingness to stop applies here too</w:t>
      </w:r>
    </w:p>
    <w:p>
      <w:pPr/>
      <w:r>
        <w:t>Don't be afraid to try a new approach for the EPMO, and don't be afraid to stop one that isn't working — Principle 7 (Willingness to stop). The effort already spent standing up part of the function is not a reason to keep running it if it isn't delivering.</w:t>
      </w:r>
    </w:p>
    <w:p>
      <w:pPr>
        <w:pStyle w:val="Heading1"/>
      </w:pPr>
      <w:r>
        <w:t>9. The steady state — handover to the business</w:t>
      </w:r>
    </w:p>
    <w:p>
      <w:pPr/>
      <w:r>
        <w:t>Once mature, the EPMO's job is to run the portfolio, not the projects within it. Individual project outcomes are owned by their Business Owners; the EPMO does not get drawn into running BAU activity on their behalf — the same discipline the Benefits Realisation guide asks of every project team at handover, applied to the EPMO itself.</w:t>
      </w:r>
    </w:p>
    <w:p>
      <w:pPr>
        <w:pStyle w:val="Heading1"/>
      </w:pPr>
      <w:r>
        <w:t>10. Roles</w:t>
      </w:r>
    </w:p>
    <w:p>
      <w:pPr>
        <w:pStyle w:val="ListBullet"/>
      </w:pPr>
      <w:r>
        <w:t>Head of PMO / EPMO lead — owns the function's design, its people, and its maturity roadmap.</w:t>
      </w:r>
    </w:p>
    <w:p>
      <w:pPr>
        <w:pStyle w:val="ListBullet"/>
      </w:pPr>
      <w:r>
        <w:t>Executive sponsor — provides and documents buy-in; clears organisational obstacles.</w:t>
      </w:r>
    </w:p>
    <w:p>
      <w:pPr>
        <w:pStyle w:val="ListBullet"/>
      </w:pPr>
      <w:r>
        <w:t>Business partners — represent business-unit interests into the EPMO's design.</w:t>
      </w:r>
    </w:p>
    <w:p>
      <w:pPr>
        <w:pStyle w:val="Heading1"/>
      </w:pPr>
      <w:r>
        <w:t>11. Boundaries</w:t>
      </w:r>
    </w:p>
    <w:p>
      <w:pPr>
        <w:pStyle w:val="ListBullet"/>
      </w:pPr>
      <w:r>
        <w:t>This guide covers standing up the function, not the PTIP, Board Reporting, or Assurance instruments it uses day to day — those are covered in the core pack.</w:t>
      </w:r>
    </w:p>
    <w:p>
      <w:pPr>
        <w:pStyle w:val="ListBullet"/>
      </w:pPr>
      <w:r>
        <w:t>Domain-agnostic — the structure is standard; how many people, and which org design, is the adopter's own decision.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1F3864"/>
    <w:rsid w:val="001F3864"/>
    <w:rsid w:val="002E5496"/>
    <w:rsid w:val="002E5496"/>
    <w:rsid w:val="001F3864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1F386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1F3864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1F386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864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1F3864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2E549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F386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F3864"/>
  </w:style>
  <w:style w:type="paragraph" w:styleId="BodyText2">
    <w:name w:val="Body Text 2"/>
    <w:basedOn w:val="Normal"/>
    <w:link w:val="BodyText2Char"/>
    <w:uiPriority w:val="99"/>
    <w:unhideWhenUsed/>
    <w:rsid w:val="001F386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F3864"/>
  </w:style>
  <w:style w:type="paragraph" w:styleId="BodyText3">
    <w:name w:val="Body Text 3"/>
    <w:basedOn w:val="Normal"/>
    <w:link w:val="BodyText3Char"/>
    <w:uiPriority w:val="99"/>
    <w:unhideWhenUsed/>
    <w:rsid w:val="001F386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F3864"/>
    <w:rPr>
      <w:sz w:val="16"/>
      <w:szCs w:val="16"/>
    </w:rPr>
  </w:style>
  <w:style w:type="paragraph" w:styleId="List">
    <w:name w:val="List"/>
    <w:basedOn w:val="Normal"/>
    <w:uiPriority w:val="99"/>
    <w:unhideWhenUsed/>
    <w:rsid w:val="001F3864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2E5496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2E5496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2E549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2E549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2E5496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2E5496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E5496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E5496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E549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E549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E5496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E549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E5496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1F3864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2E5496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2E5496" w:themeColor="accent1"/>
      </w:pBdr>
      <w:spacing w:before="200" w:after="280"/>
      <w:ind w:left="936" w:right="936"/>
    </w:pPr>
    <w:rPr>
      <w:b/>
      <w:bCs/>
      <w:i/>
      <w:iCs/>
      <w:color w:val="2E549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2E5496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2E5496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1F3864" w:themeColor="accent1" w:themeShade="BF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1F3864" w:themeColor="accent4" w:themeShade="BF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2E5496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1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  <w:shd w:val="clear" w:color="auto" w:fill="D9E2F3" w:themeFill="accent1" w:themeFillTint="3F"/>
      </w:tcPr>
    </w:tblStylePr>
    <w:tblStylePr w:type="band2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1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  <w:shd w:val="clear" w:color="auto" w:fill="D9E2F3" w:themeFill="accent4" w:themeFillTint="3F"/>
      </w:tcPr>
    </w:tblStylePr>
    <w:tblStylePr w:type="band2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E5496" w:themeColor="accen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3864" w:themeColor="accent4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E54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E549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E54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E54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F386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386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386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  <w:insideV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549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  <w:insideV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E2F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tcBorders>
          <w:insideH w:val="single" w:sz="6" w:space="0" w:color="2E5496" w:themeColor="accent1"/>
          <w:insideV w:val="single" w:sz="6" w:space="0" w:color="2E5496" w:themeColor="accent1"/>
        </w:tcBorders>
        <w:shd w:val="clear" w:color="auto" w:fill="D9E2F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E2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3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tcBorders>
          <w:insideH w:val="single" w:sz="6" w:space="0" w:color="1F3864" w:themeColor="accent4"/>
          <w:insideV w:val="single" w:sz="6" w:space="0" w:color="1F3864" w:themeColor="accent4"/>
        </w:tcBorders>
        <w:shd w:val="clear" w:color="auto" w:fill="D9E2F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E54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F386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2E5496" w:themeColor="accent1"/>
        <w:bottom w:val="single" w:sz="4" w:space="0" w:color="2E5496" w:themeColor="accent1"/>
        <w:right w:val="single" w:sz="4" w:space="0" w:color="2E5496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1" w:themeShade="99"/>
          <w:insideV w:val="nil"/>
        </w:tcBorders>
        <w:shd w:val="clear" w:color="auto" w:fill="1F38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99"/>
      </w:tcPr>
    </w:tblStylePr>
    <w:tblStylePr w:type="band1Vert">
      <w:tblPr/>
      <w:tcPr>
        <w:shd w:val="clear" w:color="auto" w:fill="D9E2F3" w:themeFill="accent1" w:themeFillTint="66"/>
      </w:tcPr>
    </w:tblStylePr>
    <w:tblStylePr w:type="band1Horz">
      <w:tblPr/>
      <w:tcPr>
        <w:shd w:val="clear" w:color="auto" w:fill="D9E2F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F3864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1F3864" w:themeColor="accent4"/>
        <w:bottom w:val="single" w:sz="4" w:space="0" w:color="1F3864" w:themeColor="accent4"/>
        <w:right w:val="single" w:sz="4" w:space="0" w:color="1F3864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4" w:themeShade="99"/>
          <w:insideV w:val="nil"/>
        </w:tcBorders>
        <w:shd w:val="clear" w:color="auto" w:fill="1F386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99"/>
      </w:tcPr>
    </w:tblStylePr>
    <w:tblStylePr w:type="band1Vert">
      <w:tblPr/>
      <w:tcPr>
        <w:shd w:val="clear" w:color="auto" w:fill="D9E2F3" w:themeFill="accent4" w:themeFillTint="66"/>
      </w:tcPr>
    </w:tblStylePr>
    <w:tblStylePr w:type="band1Horz">
      <w:tblPr/>
      <w:tcPr>
        <w:shd w:val="clear" w:color="auto" w:fill="D9E2F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3864" w:themeFill="accent4" w:themeFillShade="CC"/>
      </w:tcPr>
    </w:tblStylePr>
    <w:tblStylePr w:type="lastRow">
      <w:rPr>
        <w:b/>
        <w:bCs/>
        <w:color w:val="1F386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5496" w:themeFill="accent5" w:themeFillShade="CC"/>
      </w:tcPr>
    </w:tblStylePr>
    <w:tblStylePr w:type="lastRow">
      <w:rPr>
        <w:b/>
        <w:bCs/>
        <w:color w:val="2E549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D9E2F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3"/>
    </w:tcPr>
    <w:tblStylePr w:type="firstRow">
      <w:rPr>
        <w:b/>
        <w:bCs/>
      </w:rPr>
      <w:tblPr/>
      <w:tcPr>
        <w:shd w:val="clear" w:color="auto" w:fill="D9E2F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3864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E549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864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1F3864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2E549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F386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F3864"/>
  </w:style>
  <w:style w:type="paragraph" w:styleId="BodyText2">
    <w:name w:val="Body Text 2"/>
    <w:basedOn w:val="Normal"/>
    <w:link w:val="BodyText2Char"/>
    <w:uiPriority w:val="99"/>
    <w:unhideWhenUsed/>
    <w:rsid w:val="001F386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F3864"/>
  </w:style>
  <w:style w:type="paragraph" w:styleId="BodyText3">
    <w:name w:val="Body Text 3"/>
    <w:basedOn w:val="Normal"/>
    <w:link w:val="BodyText3Char"/>
    <w:uiPriority w:val="99"/>
    <w:unhideWhenUsed/>
    <w:rsid w:val="001F386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F3864"/>
    <w:rPr>
      <w:sz w:val="16"/>
      <w:szCs w:val="16"/>
    </w:rPr>
  </w:style>
  <w:style w:type="paragraph" w:styleId="List">
    <w:name w:val="List"/>
    <w:basedOn w:val="Normal"/>
    <w:uiPriority w:val="99"/>
    <w:unhideWhenUsed/>
    <w:rsid w:val="001F3864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2E5496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2E5496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2E549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2E549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2E5496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2E5496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E5496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E5496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E549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E549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E5496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E549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E5496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1F3864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2E5496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2E5496" w:themeColor="accent1"/>
      </w:pBdr>
      <w:spacing w:before="200" w:after="280"/>
      <w:ind w:left="936" w:right="936"/>
    </w:pPr>
    <w:rPr>
      <w:b/>
      <w:bCs/>
      <w:i/>
      <w:iCs/>
      <w:color w:val="2E549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2E5496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2E5496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1F3864" w:themeColor="accent1" w:themeShade="BF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1F3864" w:themeColor="accent4" w:themeShade="BF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2E5496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1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  <w:shd w:val="clear" w:color="auto" w:fill="D9E2F3" w:themeFill="accent1" w:themeFillTint="3F"/>
      </w:tcPr>
    </w:tblStylePr>
    <w:tblStylePr w:type="band2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1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  <w:shd w:val="clear" w:color="auto" w:fill="D9E2F3" w:themeFill="accent4" w:themeFillTint="3F"/>
      </w:tcPr>
    </w:tblStylePr>
    <w:tblStylePr w:type="band2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bottom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E5496" w:themeColor="accen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bottom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3864" w:themeColor="accent4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E54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E549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E54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E54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F386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386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386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  <w:insideV w:val="single" w:sz="8" w:space="0" w:color="2E5496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549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  <w:insideV w:val="single" w:sz="8" w:space="0" w:color="D9E2F3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E2F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tcBorders>
          <w:insideH w:val="single" w:sz="6" w:space="0" w:color="2E5496" w:themeColor="accent1"/>
          <w:insideV w:val="single" w:sz="6" w:space="0" w:color="2E5496" w:themeColor="accent1"/>
        </w:tcBorders>
        <w:shd w:val="clear" w:color="auto" w:fill="D9E2F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E2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3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tcBorders>
          <w:insideH w:val="single" w:sz="6" w:space="0" w:color="1F3864" w:themeColor="accent4"/>
          <w:insideV w:val="single" w:sz="6" w:space="0" w:color="1F3864" w:themeColor="accent4"/>
        </w:tcBorders>
        <w:shd w:val="clear" w:color="auto" w:fill="D9E2F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E54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F386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2E5496" w:themeColor="accent1"/>
        <w:bottom w:val="single" w:sz="4" w:space="0" w:color="2E5496" w:themeColor="accent1"/>
        <w:right w:val="single" w:sz="4" w:space="0" w:color="2E5496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1" w:themeShade="99"/>
          <w:insideV w:val="nil"/>
        </w:tcBorders>
        <w:shd w:val="clear" w:color="auto" w:fill="1F38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99"/>
      </w:tcPr>
    </w:tblStylePr>
    <w:tblStylePr w:type="band1Vert">
      <w:tblPr/>
      <w:tcPr>
        <w:shd w:val="clear" w:color="auto" w:fill="D9E2F3" w:themeFill="accent1" w:themeFillTint="66"/>
      </w:tcPr>
    </w:tblStylePr>
    <w:tblStylePr w:type="band1Horz">
      <w:tblPr/>
      <w:tcPr>
        <w:shd w:val="clear" w:color="auto" w:fill="D9E2F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F3864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1F3864" w:themeColor="accent4"/>
        <w:bottom w:val="single" w:sz="4" w:space="0" w:color="1F3864" w:themeColor="accent4"/>
        <w:right w:val="single" w:sz="4" w:space="0" w:color="1F3864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4" w:themeShade="99"/>
          <w:insideV w:val="nil"/>
        </w:tcBorders>
        <w:shd w:val="clear" w:color="auto" w:fill="1F386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99"/>
      </w:tcPr>
    </w:tblStylePr>
    <w:tblStylePr w:type="band1Vert">
      <w:tblPr/>
      <w:tcPr>
        <w:shd w:val="clear" w:color="auto" w:fill="D9E2F3" w:themeFill="accent4" w:themeFillTint="66"/>
      </w:tcPr>
    </w:tblStylePr>
    <w:tblStylePr w:type="band1Horz">
      <w:tblPr/>
      <w:tcPr>
        <w:shd w:val="clear" w:color="auto" w:fill="D9E2F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3864" w:themeFill="accent4" w:themeFillShade="CC"/>
      </w:tcPr>
    </w:tblStylePr>
    <w:tblStylePr w:type="lastRow">
      <w:rPr>
        <w:b/>
        <w:bCs/>
        <w:color w:val="1F386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5496" w:themeFill="accent5" w:themeFillShade="CC"/>
      </w:tcPr>
    </w:tblStylePr>
    <w:tblStylePr w:type="lastRow">
      <w:rPr>
        <w:b/>
        <w:bCs/>
        <w:color w:val="2E549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D9E2F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4" w:themeFillTint="33"/>
    </w:tcPr>
    <w:tblStylePr w:type="firstRow">
      <w:rPr>
        <w:b/>
        <w:bCs/>
      </w:rPr>
      <w:tblPr/>
      <w:tcPr>
        <w:shd w:val="clear" w:color="auto" w:fill="D9E2F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SLM">
      <a:dk1>
        <a:srgbClr val="1F2430"/>
      </a:dk1>
      <a:lt1>
        <a:srgbClr val="FFFFFF"/>
      </a:lt1>
      <a:dk2>
        <a:srgbClr val="1F3864"/>
      </a:dk2>
      <a:lt2>
        <a:srgbClr val="D9E2F3"/>
      </a:lt2>
      <a:accent1>
        <a:srgbClr val="1F3864"/>
      </a:accent1>
      <a:accent2>
        <a:srgbClr val="C55A11"/>
      </a:accent2>
      <a:accent3>
        <a:srgbClr val="548235"/>
      </a:accent3>
      <a:accent4>
        <a:srgbClr val="2E5496"/>
      </a:accent4>
      <a:accent5>
        <a:srgbClr val="9DC3E6"/>
      </a:accent5>
      <a:accent6>
        <a:srgbClr val="5B6472"/>
      </a:accent6>
      <a:hlink>
        <a:srgbClr val="2E5496"/>
      </a:hlink>
      <a:folHlink>
        <a:srgbClr val="C55A1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