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val="0"/>
          <w:i w:val="0"/>
          <w:color w:val="8A8A8A"/>
          <w:sz w:val="20"/>
        </w:rPr>
        <w:t>SSLM · Simple Solution, Low Maintenance</w:t>
      </w:r>
    </w:p>
    <w:p>
      <w:pPr>
        <w:jc w:val="center"/>
      </w:pPr>
      <w:r>
        <w:rPr>
          <w:rFonts w:ascii="Calibri" w:hAnsi="Calibri"/>
          <w:b/>
          <w:i w:val="0"/>
          <w:color w:val="1F3864"/>
          <w:sz w:val="52"/>
        </w:rPr>
        <w:t>The EPMO Maturity Model &amp; Roadmap</w:t>
      </w:r>
    </w:p>
    <w:p>
      <w:pPr>
        <w:jc w:val="center"/>
      </w:pPr>
      <w:r>
        <w:rPr>
          <w:rFonts w:ascii="Calibri" w:hAnsi="Calibri"/>
          <w:b w:val="0"/>
          <w:i/>
          <w:color w:val="595959"/>
          <w:sz w:val="26"/>
        </w:rPr>
        <w:t>From Project Office to a value-stream capability — the model behind the PMO page</w:t>
      </w:r>
    </w:p>
    <w:p/>
    <w:p>
      <w:r>
        <w:rPr>
          <w:b/>
          <w:i w:val="0"/>
        </w:rPr>
        <w:t xml:space="preserve">Purpose. </w:t>
      </w:r>
      <w:r>
        <w:rPr>
          <w:b w:val="0"/>
          <w:i w:val="0"/>
        </w:rPr>
        <w:t>This guide sets out how a project office grows up. It covers the five maturity levels an office can move through, the five design factors that keep the function coherent as it grows — Galbraith's Star Model — and a phased roadmap for building the capability at a pace the organisation can absorb. It is the model behind the SSLM PMO page.</w:t>
      </w:r>
    </w:p>
    <w:p>
      <w:r>
        <w:rPr>
          <w:b/>
          <w:i w:val="0"/>
        </w:rPr>
        <w:t xml:space="preserve">What's inside: </w:t>
      </w:r>
      <w:r>
        <w:rPr>
          <w:b w:val="0"/>
          <w:i w:val="0"/>
        </w:rPr>
        <w:t>the five maturity levels from Project Office to a value-stream capability; Galbraith's Star Model for designing the function holistically; a phased activity roadmap across six periods; and the realistic hybrid plateau most offices settle at — quite legitimately.</w:t>
      </w:r>
    </w:p>
    <w:p>
      <w:pPr>
        <w:pStyle w:val="Heading1"/>
      </w:pPr>
      <w:r>
        <w:t>1. When this applies</w:t>
      </w:r>
    </w:p>
    <w:p>
      <w:r>
        <w:rPr>
          <w:b w:val="0"/>
          <w:i w:val="0"/>
        </w:rPr>
        <w:t>This model lives in the SSLM Enterprise Extension (Tiers 3–4). A single project needs none of it. Reach for it when the scale of change outgrows a single project office:</w:t>
      </w:r>
    </w:p>
    <w:p>
      <w:pPr>
        <w:pStyle w:val="ListBullet"/>
      </w:pPr>
      <w:r>
        <w:rPr>
          <w:b w:val="0"/>
          <w:i w:val="0"/>
        </w:rPr>
        <w:t>projects have multiplied past what one person can track;</w:t>
      </w:r>
    </w:p>
    <w:p>
      <w:pPr>
        <w:pStyle w:val="ListBullet"/>
      </w:pPr>
      <w:r>
        <w:rPr>
          <w:b w:val="0"/>
          <w:i w:val="0"/>
        </w:rPr>
        <w:t>the executive needs a portfolio view tied directly to strategy;</w:t>
      </w:r>
    </w:p>
    <w:p>
      <w:pPr>
        <w:pStyle w:val="ListBullet"/>
      </w:pPr>
      <w:r>
        <w:rPr>
          <w:b w:val="0"/>
          <w:i w:val="0"/>
        </w:rPr>
        <w:t>you are standing up — or maturing — a PMO or EPMO.</w:t>
      </w:r>
    </w:p>
    <w:p>
      <w:r>
        <w:rPr>
          <w:b w:val="0"/>
          <w:i w:val="0"/>
        </w:rPr>
        <w:t>Two functions sit behind the model. An Enterprise Project Management Office (EPMO) is strategic: it decides which projects the organisation should undertake, based on strategy and the benefit of the outcomes. A Project Management Office (PMO) is tactical: it manages the delivery of each project well. Small and medium organisations rarely need both as separate functions — they build a hybrid office that bridges the strategic and the tactical, sized to fit their own context and culture.</w:t>
      </w:r>
    </w:p>
    <w:p>
      <w:pPr>
        <w:pStyle w:val="Heading1"/>
      </w:pPr>
      <w:r>
        <w:t>2. The five maturity levels</w:t>
      </w:r>
    </w:p>
    <w:p>
      <w:r>
        <w:rPr>
          <w:b w:val="0"/>
          <w:i w:val="0"/>
        </w:rPr>
        <w:t>An office matures along a recognisable path — from running ad hoc projects to governing continuous value streams. Each level builds on the one below it.</w:t>
      </w:r>
    </w:p>
    <w:tbl>
      <w:tblPr>
        <w:tblW w:type="auto" w:w="0"/>
        <w:tblLook w:firstColumn="1" w:firstRow="1" w:lastColumn="0" w:lastRow="0" w:noHBand="0" w:noVBand="1" w:val="04A0"/>
      </w:tblPr>
      <w:tblGrid>
        <w:gridCol w:w="2880"/>
        <w:gridCol w:w="2880"/>
        <w:gridCol w:w="2880"/>
      </w:tblGrid>
      <w:tr>
        <w:tc>
          <w:tcPr>
            <w:tcW w:type="dxa" w:w="2160"/>
            <w:shd w:val="clear" w:color="auto" w:fill="1F3864"/>
          </w:tcPr>
          <w:p>
            <w:r/>
            <w:r>
              <w:rPr>
                <w:rFonts w:ascii="Calibri" w:hAnsi="Calibri"/>
                <w:b/>
                <w:color w:val="FFFFFF"/>
                <w:sz w:val="21"/>
              </w:rPr>
              <w:t>Level</w:t>
            </w:r>
          </w:p>
        </w:tc>
        <w:tc>
          <w:tcPr>
            <w:tcW w:type="dxa" w:w="2880"/>
            <w:shd w:val="clear" w:color="auto" w:fill="1F3864"/>
          </w:tcPr>
          <w:p>
            <w:r/>
            <w:r>
              <w:rPr>
                <w:rFonts w:ascii="Calibri" w:hAnsi="Calibri"/>
                <w:b/>
                <w:color w:val="FFFFFF"/>
                <w:sz w:val="21"/>
              </w:rPr>
              <w:t>Stage &amp; focus</w:t>
            </w:r>
          </w:p>
        </w:tc>
        <w:tc>
          <w:tcPr>
            <w:tcW w:type="dxa" w:w="4320"/>
            <w:shd w:val="clear" w:color="auto" w:fill="1F3864"/>
          </w:tcPr>
          <w:p>
            <w:r/>
            <w:r>
              <w:rPr>
                <w:rFonts w:ascii="Calibri" w:hAnsi="Calibri"/>
                <w:b/>
                <w:color w:val="FFFFFF"/>
                <w:sz w:val="21"/>
              </w:rPr>
              <w:t>What the office does</w:t>
            </w:r>
          </w:p>
        </w:tc>
      </w:tr>
      <w:tr>
        <w:tc>
          <w:tcPr>
            <w:tcW w:type="dxa" w:w="2160"/>
            <w:shd w:val="clear" w:color="auto" w:fill="D9E2F3"/>
          </w:tcPr>
          <w:p>
            <w:r/>
            <w:r>
              <w:rPr>
                <w:rFonts w:ascii="Calibri" w:hAnsi="Calibri"/>
                <w:b/>
                <w:color w:val="1F3864"/>
                <w:sz w:val="20"/>
              </w:rPr>
              <w:t>1. Project Office</w:t>
            </w:r>
          </w:p>
        </w:tc>
        <w:tc>
          <w:tcPr>
            <w:tcW w:type="dxa" w:w="2880"/>
          </w:tcPr>
          <w:p>
            <w:r/>
            <w:r>
              <w:rPr>
                <w:rFonts w:ascii="Calibri" w:hAnsi="Calibri"/>
                <w:b w:val="0"/>
                <w:sz w:val="20"/>
              </w:rPr>
              <w:t>Initial / ad hoc — projects</w:t>
            </w:r>
          </w:p>
        </w:tc>
        <w:tc>
          <w:tcPr>
            <w:tcW w:type="dxa" w:w="4320"/>
          </w:tcPr>
          <w:p>
            <w:r/>
            <w:r>
              <w:rPr>
                <w:rFonts w:ascii="Calibri" w:hAnsi="Calibri"/>
                <w:b w:val="0"/>
                <w:sz w:val="20"/>
              </w:rPr>
              <w:t>Developing. Runs several individual projects at once, each managed on its own terms.</w:t>
            </w:r>
          </w:p>
        </w:tc>
      </w:tr>
      <w:tr>
        <w:tc>
          <w:tcPr>
            <w:tcW w:type="dxa" w:w="2160"/>
            <w:shd w:val="clear" w:color="auto" w:fill="D9E2F3"/>
          </w:tcPr>
          <w:p>
            <w:r/>
            <w:r>
              <w:rPr>
                <w:rFonts w:ascii="Calibri" w:hAnsi="Calibri"/>
                <w:b/>
                <w:color w:val="1F3864"/>
                <w:sz w:val="20"/>
              </w:rPr>
              <w:t>2. Basic PMO</w:t>
            </w:r>
          </w:p>
        </w:tc>
        <w:tc>
          <w:tcPr>
            <w:tcW w:type="dxa" w:w="2880"/>
          </w:tcPr>
          <w:p>
            <w:r/>
            <w:r>
              <w:rPr>
                <w:rFonts w:ascii="Calibri" w:hAnsi="Calibri"/>
                <w:b w:val="0"/>
                <w:sz w:val="20"/>
              </w:rPr>
              <w:t>Planned / repeatable — projects to programs</w:t>
            </w:r>
          </w:p>
        </w:tc>
        <w:tc>
          <w:tcPr>
            <w:tcW w:type="dxa" w:w="4320"/>
          </w:tcPr>
          <w:p>
            <w:r/>
            <w:r>
              <w:rPr>
                <w:rFonts w:ascii="Calibri" w:hAnsi="Calibri"/>
                <w:b w:val="0"/>
                <w:sz w:val="20"/>
              </w:rPr>
              <w:t>Standardises across projects. Introduces estimation, planning and scheduling as shared disciplines.</w:t>
            </w:r>
          </w:p>
        </w:tc>
      </w:tr>
      <w:tr>
        <w:tc>
          <w:tcPr>
            <w:tcW w:type="dxa" w:w="2160"/>
            <w:shd w:val="clear" w:color="auto" w:fill="D9E2F3"/>
          </w:tcPr>
          <w:p>
            <w:r/>
            <w:r>
              <w:rPr>
                <w:rFonts w:ascii="Calibri" w:hAnsi="Calibri"/>
                <w:b/>
                <w:color w:val="1F3864"/>
                <w:sz w:val="20"/>
              </w:rPr>
              <w:t>3. Standard</w:t>
            </w:r>
          </w:p>
        </w:tc>
        <w:tc>
          <w:tcPr>
            <w:tcW w:type="dxa" w:w="2880"/>
          </w:tcPr>
          <w:p>
            <w:r/>
            <w:r>
              <w:rPr>
                <w:rFonts w:ascii="Calibri" w:hAnsi="Calibri"/>
                <w:b w:val="0"/>
                <w:sz w:val="20"/>
              </w:rPr>
              <w:t>Defined / organised — programs</w:t>
            </w:r>
          </w:p>
        </w:tc>
        <w:tc>
          <w:tcPr>
            <w:tcW w:type="dxa" w:w="4320"/>
          </w:tcPr>
          <w:p>
            <w:r/>
            <w:r>
              <w:rPr>
                <w:rFonts w:ascii="Calibri" w:hAnsi="Calibri"/>
                <w:b w:val="0"/>
                <w:sz w:val="20"/>
              </w:rPr>
              <w:t>Turns project best practice into a standard environment. Guides resource allocation; reporting, estimation and planning grow more sophisticated.</w:t>
            </w:r>
          </w:p>
        </w:tc>
      </w:tr>
      <w:tr>
        <w:tc>
          <w:tcPr>
            <w:tcW w:type="dxa" w:w="2160"/>
            <w:shd w:val="clear" w:color="auto" w:fill="D9E2F3"/>
          </w:tcPr>
          <w:p>
            <w:r/>
            <w:r>
              <w:rPr>
                <w:rFonts w:ascii="Calibri" w:hAnsi="Calibri"/>
                <w:b/>
                <w:color w:val="1F3864"/>
                <w:sz w:val="20"/>
              </w:rPr>
              <w:t>4. Advanced</w:t>
            </w:r>
          </w:p>
        </w:tc>
        <w:tc>
          <w:tcPr>
            <w:tcW w:type="dxa" w:w="2880"/>
          </w:tcPr>
          <w:p>
            <w:r/>
            <w:r>
              <w:rPr>
                <w:rFonts w:ascii="Calibri" w:hAnsi="Calibri"/>
                <w:b w:val="0"/>
                <w:sz w:val="20"/>
              </w:rPr>
              <w:t>Integrated / managed — portfolio</w:t>
            </w:r>
          </w:p>
        </w:tc>
        <w:tc>
          <w:tcPr>
            <w:tcW w:type="dxa" w:w="4320"/>
          </w:tcPr>
          <w:p>
            <w:r/>
            <w:r>
              <w:rPr>
                <w:rFonts w:ascii="Calibri" w:hAnsi="Calibri"/>
                <w:b w:val="0"/>
                <w:sz w:val="20"/>
              </w:rPr>
              <w:t>Business operations are viewed as projects. Process flows and projects cross-pollinate; the criteria for project success have evolved.</w:t>
            </w:r>
          </w:p>
        </w:tc>
      </w:tr>
      <w:tr>
        <w:tc>
          <w:tcPr>
            <w:tcW w:type="dxa" w:w="2160"/>
            <w:shd w:val="clear" w:color="auto" w:fill="D9E2F3"/>
          </w:tcPr>
          <w:p>
            <w:r/>
            <w:r>
              <w:rPr>
                <w:rFonts w:ascii="Calibri" w:hAnsi="Calibri"/>
                <w:b/>
                <w:color w:val="1F3864"/>
                <w:sz w:val="20"/>
              </w:rPr>
              <w:t>5. Centre of Excellence</w:t>
            </w:r>
          </w:p>
        </w:tc>
        <w:tc>
          <w:tcPr>
            <w:tcW w:type="dxa" w:w="2880"/>
          </w:tcPr>
          <w:p>
            <w:r/>
            <w:r>
              <w:rPr>
                <w:rFonts w:ascii="Calibri" w:hAnsi="Calibri"/>
                <w:b w:val="0"/>
                <w:sz w:val="20"/>
              </w:rPr>
              <w:t>Optimised / sustained — streams of mini-projects</w:t>
            </w:r>
          </w:p>
        </w:tc>
        <w:tc>
          <w:tcPr>
            <w:tcW w:type="dxa" w:w="4320"/>
          </w:tcPr>
          <w:p>
            <w:r/>
            <w:r>
              <w:rPr>
                <w:rFonts w:ascii="Calibri" w:hAnsi="Calibri"/>
                <w:b w:val="0"/>
                <w:sz w:val="20"/>
              </w:rPr>
              <w:t>A project-management environment spanning business units, customers, vendors and partners — governing continuous value streams. The pinnacle.</w:t>
            </w:r>
          </w:p>
        </w:tc>
      </w:tr>
    </w:tbl>
    <w:p/>
    <w:tbl>
      <w:tblPr>
        <w:tblW w:type="auto" w:w="0"/>
        <w:tblLayout w:type="autofit"/>
        <w:tblLook w:firstColumn="1" w:firstRow="1" w:lastColumn="0" w:lastRow="0" w:noHBand="0" w:noVBand="1" w:val="04A0"/>
      </w:tblPr>
      <w:tblGrid>
        <w:gridCol w:w="8640"/>
      </w:tblGrid>
      <w:tr>
        <w:tc>
          <w:tcPr>
            <w:tcW w:type="dxa" w:w="8640"/>
            <w:shd w:val="clear" w:color="auto" w:fill="D9E2F3"/>
            <w:tcBorders>
              <w:left w:val="single" w:sz="24" w:color="1F3864" w:space="0"/>
            </w:tcBorders>
          </w:tcPr>
          <w:p>
            <w:r/>
            <w:r>
              <w:rPr>
                <w:b/>
                <w:color w:val="1F3864"/>
                <w:sz w:val="21"/>
              </w:rPr>
              <w:t>A map, not a mandate</w:t>
            </w:r>
          </w:p>
          <w:p>
            <w:r>
              <w:rPr>
                <w:sz w:val="21"/>
              </w:rPr>
              <w:t>Most organisations settle, quite legitimately, at a well-run hybrid office. The levels are a direction of travel, not a scorecard — climb only as far as real demand justifies.</w:t>
            </w:r>
          </w:p>
        </w:tc>
      </w:tr>
    </w:tbl>
    <w:p/>
    <w:p>
      <w:pPr>
        <w:pStyle w:val="Heading1"/>
      </w:pPr>
      <w:r>
        <w:t>3. Design it holistically — Galbraith's Star Model</w:t>
      </w:r>
    </w:p>
    <w:p>
      <w:r>
        <w:rPr>
          <w:b w:val="0"/>
          <w:i w:val="0"/>
        </w:rPr>
        <w:t>An office that grows one piece at a time ends up reactive, inconsistent and patchy. Galbraith's Star Model keeps the whole function coherent. Start from the organisation's strategy and culture, then align all five factors so they reinforce one another — a single message and consistent behaviours.</w:t>
      </w:r>
    </w:p>
    <w:p>
      <w:pPr>
        <w:pStyle w:val="ListBullet"/>
      </w:pPr>
      <w:r>
        <w:rPr>
          <w:b/>
          <w:i w:val="0"/>
        </w:rPr>
        <w:t xml:space="preserve">Strategy — </w:t>
      </w:r>
      <w:r>
        <w:rPr>
          <w:b w:val="0"/>
          <w:i w:val="0"/>
        </w:rPr>
        <w:t>the vision, values and direction, aligned to the organisation's own strategy.</w:t>
      </w:r>
    </w:p>
    <w:p>
      <w:pPr>
        <w:pStyle w:val="ListBullet"/>
      </w:pPr>
      <w:r>
        <w:rPr>
          <w:b/>
          <w:i w:val="0"/>
        </w:rPr>
        <w:t xml:space="preserve">Structure — </w:t>
      </w:r>
      <w:r>
        <w:rPr>
          <w:b w:val="0"/>
          <w:i w:val="0"/>
        </w:rPr>
        <w:t>how power and authority are distributed: spans and layers, governance escalation levels and key stakeholders.</w:t>
      </w:r>
    </w:p>
    <w:p>
      <w:pPr>
        <w:pStyle w:val="ListBullet"/>
      </w:pPr>
      <w:r>
        <w:rPr>
          <w:b/>
          <w:i w:val="0"/>
        </w:rPr>
        <w:t xml:space="preserve">Process — </w:t>
      </w:r>
      <w:r>
        <w:rPr>
          <w:b w:val="0"/>
          <w:i w:val="0"/>
        </w:rPr>
        <w:t>the information and decision processes; the reporting channels that support governance.</w:t>
      </w:r>
    </w:p>
    <w:p>
      <w:pPr>
        <w:pStyle w:val="ListBullet"/>
      </w:pPr>
      <w:r>
        <w:rPr>
          <w:b/>
          <w:i w:val="0"/>
        </w:rPr>
        <w:t xml:space="preserve">Rewards &amp; incentives — </w:t>
      </w:r>
      <w:r>
        <w:rPr>
          <w:b w:val="0"/>
          <w:i w:val="0"/>
        </w:rPr>
        <w:t>compensation, promotion paths, recognition and job challenge that grow capability and skill.</w:t>
      </w:r>
    </w:p>
    <w:p>
      <w:pPr>
        <w:pStyle w:val="ListBullet"/>
      </w:pPr>
      <w:r>
        <w:rPr>
          <w:b/>
          <w:i w:val="0"/>
        </w:rPr>
        <w:t xml:space="preserve">People — </w:t>
      </w:r>
      <w:r>
        <w:rPr>
          <w:b w:val="0"/>
          <w:i w:val="0"/>
        </w:rPr>
        <w:t>roles and responsibilities, and the skills and mindset that align to strategy.</w:t>
      </w:r>
    </w:p>
    <w:p>
      <w:r>
        <w:rPr>
          <w:b w:val="0"/>
          <w:i w:val="0"/>
        </w:rPr>
        <w:t>When the five points pull together, the office reinforces itself. When one lags, the others strain to compensate — which is how offices drift into being reactive and patchy.</w:t>
      </w:r>
    </w:p>
    <w:p>
      <w:pPr>
        <w:pStyle w:val="Heading1"/>
      </w:pPr>
      <w:r>
        <w:t>4. The phased activity roadmap</w:t>
      </w:r>
    </w:p>
    <w:p>
      <w:r>
        <w:rPr>
          <w:b w:val="0"/>
          <w:i w:val="0"/>
        </w:rPr>
        <w:t>Build the capability in phases matched to real capacity — not all at once. The roadmap sequences nineteen EPMO activities across six periods. Each cell shows the intended depth in that period; a blank cell means “not yet — deliberately.”</w:t>
      </w:r>
    </w:p>
    <w:tbl>
      <w:tblPr>
        <w:tblLayout w:type="fixed"/>
        <w:tblLook w:firstColumn="1" w:firstRow="1" w:lastColumn="0" w:lastRow="0" w:noHBand="0" w:noVBand="1" w:val="04A0"/>
        <w:tblW w:w="8308" w:type="dxa"/>
      </w:tblPr>
      <w:tblGrid>
        <w:gridCol w:w="460"/>
        <w:gridCol w:w="4392"/>
        <w:gridCol w:w="576"/>
        <w:gridCol w:w="576"/>
        <w:gridCol w:w="576"/>
        <w:gridCol w:w="576"/>
        <w:gridCol w:w="576"/>
        <w:gridCol w:w="576"/>
      </w:tblGrid>
      <w:tr>
        <w:tc>
          <w:tcPr>
            <w:tcW w:type="dxa" w:w="461"/>
            <w:shd w:val="clear" w:color="auto" w:fill="1F3864"/>
          </w:tcPr>
          <w:p>
            <w:pPr>
              <w:jc w:val="center"/>
            </w:pPr>
            <w:r/>
            <w:r>
              <w:rPr>
                <w:rFonts w:ascii="Calibri" w:hAnsi="Calibri"/>
                <w:b/>
                <w:color w:val="FFFFFF"/>
                <w:sz w:val="19"/>
              </w:rPr>
              <w:t>#</w:t>
            </w:r>
          </w:p>
        </w:tc>
        <w:tc>
          <w:tcPr>
            <w:tcW w:type="dxa" w:w="4392"/>
            <w:shd w:val="clear" w:color="auto" w:fill="1F3864"/>
          </w:tcPr>
          <w:p>
            <w:r/>
            <w:r>
              <w:rPr>
                <w:rFonts w:ascii="Calibri" w:hAnsi="Calibri"/>
                <w:b/>
                <w:color w:val="FFFFFF"/>
                <w:sz w:val="19"/>
              </w:rPr>
              <w:t>EPMO activity</w:t>
            </w:r>
          </w:p>
        </w:tc>
        <w:tc>
          <w:tcPr>
            <w:tcW w:type="dxa" w:w="576"/>
            <w:shd w:val="clear" w:color="auto" w:fill="1F3864"/>
          </w:tcPr>
          <w:p>
            <w:pPr>
              <w:jc w:val="center"/>
            </w:pPr>
            <w:r/>
            <w:r>
              <w:rPr>
                <w:rFonts w:ascii="Calibri" w:hAnsi="Calibri"/>
                <w:b/>
                <w:color w:val="FFFFFF"/>
                <w:sz w:val="19"/>
              </w:rPr>
              <w:t>P1</w:t>
            </w:r>
          </w:p>
        </w:tc>
        <w:tc>
          <w:tcPr>
            <w:tcW w:type="dxa" w:w="576"/>
            <w:shd w:val="clear" w:color="auto" w:fill="1F3864"/>
          </w:tcPr>
          <w:p>
            <w:pPr>
              <w:jc w:val="center"/>
            </w:pPr>
            <w:r/>
            <w:r>
              <w:rPr>
                <w:rFonts w:ascii="Calibri" w:hAnsi="Calibri"/>
                <w:b/>
                <w:color w:val="FFFFFF"/>
                <w:sz w:val="19"/>
              </w:rPr>
              <w:t>P2</w:t>
            </w:r>
          </w:p>
        </w:tc>
        <w:tc>
          <w:tcPr>
            <w:tcW w:type="dxa" w:w="576"/>
            <w:shd w:val="clear" w:color="auto" w:fill="1F3864"/>
          </w:tcPr>
          <w:p>
            <w:pPr>
              <w:jc w:val="center"/>
            </w:pPr>
            <w:r/>
            <w:r>
              <w:rPr>
                <w:rFonts w:ascii="Calibri" w:hAnsi="Calibri"/>
                <w:b/>
                <w:color w:val="FFFFFF"/>
                <w:sz w:val="19"/>
              </w:rPr>
              <w:t>P3</w:t>
            </w:r>
          </w:p>
        </w:tc>
        <w:tc>
          <w:tcPr>
            <w:tcW w:type="dxa" w:w="576"/>
            <w:shd w:val="clear" w:color="auto" w:fill="1F3864"/>
          </w:tcPr>
          <w:p>
            <w:pPr>
              <w:jc w:val="center"/>
            </w:pPr>
            <w:r/>
            <w:r>
              <w:rPr>
                <w:rFonts w:ascii="Calibri" w:hAnsi="Calibri"/>
                <w:b/>
                <w:color w:val="FFFFFF"/>
                <w:sz w:val="19"/>
              </w:rPr>
              <w:t>P4</w:t>
            </w:r>
          </w:p>
        </w:tc>
        <w:tc>
          <w:tcPr>
            <w:tcW w:type="dxa" w:w="576"/>
            <w:shd w:val="clear" w:color="auto" w:fill="1F3864"/>
          </w:tcPr>
          <w:p>
            <w:pPr>
              <w:jc w:val="center"/>
            </w:pPr>
            <w:r/>
            <w:r>
              <w:rPr>
                <w:rFonts w:ascii="Calibri" w:hAnsi="Calibri"/>
                <w:b/>
                <w:color w:val="FFFFFF"/>
                <w:sz w:val="19"/>
              </w:rPr>
              <w:t>P5</w:t>
            </w:r>
          </w:p>
        </w:tc>
        <w:tc>
          <w:tcPr>
            <w:tcW w:type="dxa" w:w="576"/>
            <w:shd w:val="clear" w:color="auto" w:fill="1F3864"/>
          </w:tcPr>
          <w:p>
            <w:pPr>
              <w:jc w:val="center"/>
            </w:pPr>
            <w:r/>
            <w:r>
              <w:rPr>
                <w:rFonts w:ascii="Calibri" w:hAnsi="Calibri"/>
                <w:b/>
                <w:color w:val="FFFFFF"/>
                <w:sz w:val="19"/>
              </w:rPr>
              <w:t>P6</w:t>
            </w:r>
          </w:p>
        </w:tc>
      </w:tr>
      <w:tr>
        <w:tc>
          <w:tcPr>
            <w:tcW w:type="dxa" w:w="461"/>
          </w:tcPr>
          <w:p>
            <w:pPr>
              <w:jc w:val="center"/>
            </w:pPr>
            <w:r/>
            <w:r>
              <w:rPr>
                <w:rFonts w:ascii="Calibri" w:hAnsi="Calibri"/>
                <w:b w:val="0"/>
                <w:sz w:val="19"/>
              </w:rPr>
              <w:t>1</w:t>
            </w:r>
          </w:p>
        </w:tc>
        <w:tc>
          <w:tcPr>
            <w:tcW w:type="dxa" w:w="4392"/>
          </w:tcPr>
          <w:p>
            <w:r/>
            <w:r>
              <w:rPr>
                <w:rFonts w:ascii="Calibri" w:hAnsi="Calibri"/>
                <w:b w:val="0"/>
                <w:sz w:val="19"/>
              </w:rPr>
              <w:t>Strategic alignment to business unit development</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1F3864"/>
          </w:tcPr>
          <w:p>
            <w:pPr>
              <w:jc w:val="center"/>
            </w:pPr>
            <w:r/>
            <w:r>
              <w:rPr>
                <w:rFonts w:ascii="Calibri" w:hAnsi="Calibri"/>
                <w:b/>
                <w:color w:val="FFFFFF"/>
                <w:sz w:val="19"/>
              </w:rPr>
              <w:t>4</w:t>
            </w:r>
          </w:p>
        </w:tc>
        <w:tc>
          <w:tcPr>
            <w:tcW w:type="dxa" w:w="576"/>
            <w:shd w:val="clear" w:color="auto" w:fill="1F3864"/>
          </w:tcPr>
          <w:p>
            <w:pPr>
              <w:jc w:val="center"/>
            </w:pPr>
            <w:r/>
            <w:r>
              <w:rPr>
                <w:rFonts w:ascii="Calibri" w:hAnsi="Calibri"/>
                <w:b/>
                <w:color w:val="FFFFFF"/>
                <w:sz w:val="19"/>
              </w:rPr>
              <w:t>4</w:t>
            </w:r>
          </w:p>
        </w:tc>
        <w:tc>
          <w:tcPr>
            <w:tcW w:type="dxa" w:w="576"/>
            <w:shd w:val="clear" w:color="auto" w:fill="1F3864"/>
          </w:tcPr>
          <w:p>
            <w:pPr>
              <w:jc w:val="center"/>
            </w:pPr>
            <w:r/>
            <w:r>
              <w:rPr>
                <w:rFonts w:ascii="Calibri" w:hAnsi="Calibri"/>
                <w:b/>
                <w:color w:val="FFFFFF"/>
                <w:sz w:val="19"/>
              </w:rPr>
              <w:t>4</w:t>
            </w:r>
          </w:p>
        </w:tc>
      </w:tr>
      <w:tr>
        <w:tc>
          <w:tcPr>
            <w:tcW w:type="dxa" w:w="461"/>
          </w:tcPr>
          <w:p>
            <w:pPr>
              <w:jc w:val="center"/>
            </w:pPr>
            <w:r/>
            <w:r>
              <w:rPr>
                <w:rFonts w:ascii="Calibri" w:hAnsi="Calibri"/>
                <w:b w:val="0"/>
                <w:sz w:val="19"/>
              </w:rPr>
              <w:t>2</w:t>
            </w:r>
          </w:p>
        </w:tc>
        <w:tc>
          <w:tcPr>
            <w:tcW w:type="dxa" w:w="4392"/>
          </w:tcPr>
          <w:p>
            <w:r/>
            <w:r>
              <w:rPr>
                <w:rFonts w:ascii="Calibri" w:hAnsi="Calibri"/>
                <w:b w:val="0"/>
                <w:sz w:val="19"/>
              </w:rPr>
              <w:t>Roles &amp; responsibilities</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1F3864"/>
          </w:tcPr>
          <w:p>
            <w:pPr>
              <w:jc w:val="center"/>
            </w:pPr>
            <w:r/>
            <w:r>
              <w:rPr>
                <w:rFonts w:ascii="Calibri" w:hAnsi="Calibri"/>
                <w:b/>
                <w:color w:val="FFFFFF"/>
                <w:sz w:val="19"/>
              </w:rPr>
              <w:t>4</w:t>
            </w:r>
          </w:p>
        </w:tc>
      </w:tr>
      <w:tr>
        <w:tc>
          <w:tcPr>
            <w:tcW w:type="dxa" w:w="461"/>
          </w:tcPr>
          <w:p>
            <w:pPr>
              <w:jc w:val="center"/>
            </w:pPr>
            <w:r/>
            <w:r>
              <w:rPr>
                <w:rFonts w:ascii="Calibri" w:hAnsi="Calibri"/>
                <w:b w:val="0"/>
                <w:sz w:val="19"/>
              </w:rPr>
              <w:t>3</w:t>
            </w:r>
          </w:p>
        </w:tc>
        <w:tc>
          <w:tcPr>
            <w:tcW w:type="dxa" w:w="4392"/>
          </w:tcPr>
          <w:p>
            <w:r/>
            <w:r>
              <w:rPr>
                <w:rFonts w:ascii="Calibri" w:hAnsi="Calibri"/>
                <w:b w:val="0"/>
                <w:sz w:val="19"/>
              </w:rPr>
              <w:t>Governance &amp; policy</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1F3864"/>
          </w:tcPr>
          <w:p>
            <w:pPr>
              <w:jc w:val="center"/>
            </w:pPr>
            <w:r/>
            <w:r>
              <w:rPr>
                <w:rFonts w:ascii="Calibri" w:hAnsi="Calibri"/>
                <w:b/>
                <w:color w:val="FFFFFF"/>
                <w:sz w:val="19"/>
              </w:rPr>
              <w:t>4</w:t>
            </w:r>
          </w:p>
        </w:tc>
      </w:tr>
      <w:tr>
        <w:tc>
          <w:tcPr>
            <w:tcW w:type="dxa" w:w="461"/>
          </w:tcPr>
          <w:p>
            <w:pPr>
              <w:jc w:val="center"/>
            </w:pPr>
            <w:r/>
            <w:r>
              <w:rPr>
                <w:rFonts w:ascii="Calibri" w:hAnsi="Calibri"/>
                <w:b w:val="0"/>
                <w:sz w:val="19"/>
              </w:rPr>
              <w:t>4</w:t>
            </w:r>
          </w:p>
        </w:tc>
        <w:tc>
          <w:tcPr>
            <w:tcW w:type="dxa" w:w="4392"/>
          </w:tcPr>
          <w:p>
            <w:r/>
            <w:r>
              <w:rPr>
                <w:rFonts w:ascii="Calibri" w:hAnsi="Calibri"/>
                <w:b w:val="0"/>
                <w:sz w:val="19"/>
              </w:rPr>
              <w:t>Reporting</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r>
      <w:tr>
        <w:tc>
          <w:tcPr>
            <w:tcW w:type="dxa" w:w="461"/>
          </w:tcPr>
          <w:p>
            <w:pPr>
              <w:jc w:val="center"/>
            </w:pPr>
            <w:r/>
            <w:r>
              <w:rPr>
                <w:rFonts w:ascii="Calibri" w:hAnsi="Calibri"/>
                <w:b w:val="0"/>
                <w:sz w:val="19"/>
              </w:rPr>
              <w:t>5</w:t>
            </w:r>
          </w:p>
        </w:tc>
        <w:tc>
          <w:tcPr>
            <w:tcW w:type="dxa" w:w="4392"/>
          </w:tcPr>
          <w:p>
            <w:r/>
            <w:r>
              <w:rPr>
                <w:rFonts w:ascii="Calibri" w:hAnsi="Calibri"/>
                <w:b w:val="0"/>
                <w:sz w:val="19"/>
              </w:rPr>
              <w:t>Planning</w:t>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r>
      <w:tr>
        <w:tc>
          <w:tcPr>
            <w:tcW w:type="dxa" w:w="461"/>
          </w:tcPr>
          <w:p>
            <w:pPr>
              <w:jc w:val="center"/>
            </w:pPr>
            <w:r/>
            <w:r>
              <w:rPr>
                <w:rFonts w:ascii="Calibri" w:hAnsi="Calibri"/>
                <w:b w:val="0"/>
                <w:sz w:val="19"/>
              </w:rPr>
              <w:t>6</w:t>
            </w:r>
          </w:p>
        </w:tc>
        <w:tc>
          <w:tcPr>
            <w:tcW w:type="dxa" w:w="4392"/>
          </w:tcPr>
          <w:p>
            <w:r/>
            <w:r>
              <w:rPr>
                <w:rFonts w:ascii="Calibri" w:hAnsi="Calibri"/>
                <w:b w:val="0"/>
                <w:sz w:val="19"/>
              </w:rPr>
              <w:t>Pipeline management</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r>
      <w:tr>
        <w:tc>
          <w:tcPr>
            <w:tcW w:type="dxa" w:w="461"/>
          </w:tcPr>
          <w:p>
            <w:pPr>
              <w:jc w:val="center"/>
            </w:pPr>
            <w:r/>
            <w:r>
              <w:rPr>
                <w:rFonts w:ascii="Calibri" w:hAnsi="Calibri"/>
                <w:b w:val="0"/>
                <w:sz w:val="19"/>
              </w:rPr>
              <w:t>7</w:t>
            </w:r>
          </w:p>
        </w:tc>
        <w:tc>
          <w:tcPr>
            <w:tcW w:type="dxa" w:w="4392"/>
          </w:tcPr>
          <w:p>
            <w:r/>
            <w:r>
              <w:rPr>
                <w:rFonts w:ascii="Calibri" w:hAnsi="Calibri"/>
                <w:b w:val="0"/>
                <w:sz w:val="19"/>
              </w:rPr>
              <w:t>RAID + decisions &amp; action logs</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r>
      <w:tr>
        <w:tc>
          <w:tcPr>
            <w:tcW w:type="dxa" w:w="461"/>
          </w:tcPr>
          <w:p>
            <w:pPr>
              <w:jc w:val="center"/>
            </w:pPr>
            <w:r/>
            <w:r>
              <w:rPr>
                <w:rFonts w:ascii="Calibri" w:hAnsi="Calibri"/>
                <w:b w:val="0"/>
                <w:sz w:val="19"/>
              </w:rPr>
              <w:t>8</w:t>
            </w:r>
          </w:p>
        </w:tc>
        <w:tc>
          <w:tcPr>
            <w:tcW w:type="dxa" w:w="4392"/>
          </w:tcPr>
          <w:p>
            <w:r/>
            <w:r>
              <w:rPr>
                <w:rFonts w:ascii="Calibri" w:hAnsi="Calibri"/>
                <w:b w:val="0"/>
                <w:sz w:val="19"/>
              </w:rPr>
              <w:t>Change control</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r>
      <w:tr>
        <w:tc>
          <w:tcPr>
            <w:tcW w:type="dxa" w:w="461"/>
          </w:tcPr>
          <w:p>
            <w:pPr>
              <w:jc w:val="center"/>
            </w:pPr>
            <w:r/>
            <w:r>
              <w:rPr>
                <w:rFonts w:ascii="Calibri" w:hAnsi="Calibri"/>
                <w:b w:val="0"/>
                <w:sz w:val="19"/>
              </w:rPr>
              <w:t>9</w:t>
            </w:r>
          </w:p>
        </w:tc>
        <w:tc>
          <w:tcPr>
            <w:tcW w:type="dxa" w:w="4392"/>
          </w:tcPr>
          <w:p>
            <w:r/>
            <w:r>
              <w:rPr>
                <w:rFonts w:ascii="Calibri" w:hAnsi="Calibri"/>
                <w:b w:val="0"/>
                <w:sz w:val="19"/>
              </w:rPr>
              <w:t>Finance &amp; cost management</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r>
      <w:tr>
        <w:tc>
          <w:tcPr>
            <w:tcW w:type="dxa" w:w="461"/>
          </w:tcPr>
          <w:p>
            <w:pPr>
              <w:jc w:val="center"/>
            </w:pPr>
            <w:r/>
            <w:r>
              <w:rPr>
                <w:rFonts w:ascii="Calibri" w:hAnsi="Calibri"/>
                <w:b w:val="0"/>
                <w:sz w:val="19"/>
              </w:rPr>
              <w:t>10</w:t>
            </w:r>
          </w:p>
        </w:tc>
        <w:tc>
          <w:tcPr>
            <w:tcW w:type="dxa" w:w="4392"/>
          </w:tcPr>
          <w:p>
            <w:r/>
            <w:r>
              <w:rPr>
                <w:rFonts w:ascii="Calibri" w:hAnsi="Calibri"/>
                <w:b w:val="0"/>
                <w:sz w:val="19"/>
              </w:rPr>
              <w:t>Resource management</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r>
      <w:tr>
        <w:tc>
          <w:tcPr>
            <w:tcW w:type="dxa" w:w="461"/>
          </w:tcPr>
          <w:p>
            <w:pPr>
              <w:jc w:val="center"/>
            </w:pPr>
            <w:r/>
            <w:r>
              <w:rPr>
                <w:rFonts w:ascii="Calibri" w:hAnsi="Calibri"/>
                <w:b w:val="0"/>
                <w:sz w:val="19"/>
              </w:rPr>
              <w:t>11</w:t>
            </w:r>
          </w:p>
        </w:tc>
        <w:tc>
          <w:tcPr>
            <w:tcW w:type="dxa" w:w="4392"/>
          </w:tcPr>
          <w:p>
            <w:r/>
            <w:r>
              <w:rPr>
                <w:rFonts w:ascii="Calibri" w:hAnsi="Calibri"/>
                <w:b w:val="0"/>
                <w:sz w:val="19"/>
              </w:rPr>
              <w:t>Procurement</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r>
      <w:tr>
        <w:tc>
          <w:tcPr>
            <w:tcW w:type="dxa" w:w="461"/>
          </w:tcPr>
          <w:p>
            <w:pPr>
              <w:jc w:val="center"/>
            </w:pPr>
            <w:r/>
            <w:r>
              <w:rPr>
                <w:rFonts w:ascii="Calibri" w:hAnsi="Calibri"/>
                <w:b w:val="0"/>
                <w:sz w:val="19"/>
              </w:rPr>
              <w:t>12</w:t>
            </w:r>
          </w:p>
        </w:tc>
        <w:tc>
          <w:tcPr>
            <w:tcW w:type="dxa" w:w="4392"/>
          </w:tcPr>
          <w:p>
            <w:r/>
            <w:r>
              <w:rPr>
                <w:rFonts w:ascii="Calibri" w:hAnsi="Calibri"/>
                <w:b w:val="0"/>
                <w:sz w:val="19"/>
              </w:rPr>
              <w:t>Knowledge &amp; document management</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r>
      <w:tr>
        <w:tc>
          <w:tcPr>
            <w:tcW w:type="dxa" w:w="461"/>
          </w:tcPr>
          <w:p>
            <w:pPr>
              <w:jc w:val="center"/>
            </w:pPr>
            <w:r/>
            <w:r>
              <w:rPr>
                <w:rFonts w:ascii="Calibri" w:hAnsi="Calibri"/>
                <w:b w:val="0"/>
                <w:sz w:val="19"/>
              </w:rPr>
              <w:t>13</w:t>
            </w:r>
          </w:p>
        </w:tc>
        <w:tc>
          <w:tcPr>
            <w:tcW w:type="dxa" w:w="4392"/>
          </w:tcPr>
          <w:p>
            <w:r/>
            <w:r>
              <w:rPr>
                <w:rFonts w:ascii="Calibri" w:hAnsi="Calibri"/>
                <w:b w:val="0"/>
                <w:sz w:val="19"/>
              </w:rPr>
              <w:t>Quality assurance</w:t>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r>
      <w:tr>
        <w:tc>
          <w:tcPr>
            <w:tcW w:type="dxa" w:w="461"/>
          </w:tcPr>
          <w:p>
            <w:pPr>
              <w:jc w:val="center"/>
            </w:pPr>
            <w:r/>
            <w:r>
              <w:rPr>
                <w:rFonts w:ascii="Calibri" w:hAnsi="Calibri"/>
                <w:b w:val="0"/>
                <w:sz w:val="19"/>
              </w:rPr>
              <w:t>14</w:t>
            </w:r>
          </w:p>
        </w:tc>
        <w:tc>
          <w:tcPr>
            <w:tcW w:type="dxa" w:w="4392"/>
          </w:tcPr>
          <w:p>
            <w:r/>
            <w:r>
              <w:rPr>
                <w:rFonts w:ascii="Calibri" w:hAnsi="Calibri"/>
                <w:b w:val="0"/>
                <w:sz w:val="19"/>
              </w:rPr>
              <w:t>Capability uplift / training</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r>
      <w:tr>
        <w:tc>
          <w:tcPr>
            <w:tcW w:type="dxa" w:w="461"/>
          </w:tcPr>
          <w:p>
            <w:pPr>
              <w:jc w:val="center"/>
            </w:pPr>
            <w:r/>
            <w:r>
              <w:rPr>
                <w:rFonts w:ascii="Calibri" w:hAnsi="Calibri"/>
                <w:b w:val="0"/>
                <w:sz w:val="19"/>
              </w:rPr>
              <w:t>15</w:t>
            </w:r>
          </w:p>
        </w:tc>
        <w:tc>
          <w:tcPr>
            <w:tcW w:type="dxa" w:w="4392"/>
          </w:tcPr>
          <w:p>
            <w:r/>
            <w:r>
              <w:rPr>
                <w:rFonts w:ascii="Calibri" w:hAnsi="Calibri"/>
                <w:b w:val="0"/>
                <w:sz w:val="19"/>
              </w:rPr>
              <w:t>Tools &amp; technology</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r>
      <w:tr>
        <w:tc>
          <w:tcPr>
            <w:tcW w:type="dxa" w:w="461"/>
          </w:tcPr>
          <w:p>
            <w:pPr>
              <w:jc w:val="center"/>
            </w:pPr>
            <w:r/>
            <w:r>
              <w:rPr>
                <w:rFonts w:ascii="Calibri" w:hAnsi="Calibri"/>
                <w:b w:val="0"/>
                <w:sz w:val="19"/>
              </w:rPr>
              <w:t>16</w:t>
            </w:r>
          </w:p>
        </w:tc>
        <w:tc>
          <w:tcPr>
            <w:tcW w:type="dxa" w:w="4392"/>
          </w:tcPr>
          <w:p>
            <w:r/>
            <w:r>
              <w:rPr>
                <w:rFonts w:ascii="Calibri" w:hAnsi="Calibri"/>
                <w:b w:val="0"/>
                <w:sz w:val="19"/>
              </w:rPr>
              <w:t>Change management</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r>
      <w:tr>
        <w:tc>
          <w:tcPr>
            <w:tcW w:type="dxa" w:w="461"/>
          </w:tcPr>
          <w:p>
            <w:pPr>
              <w:jc w:val="center"/>
            </w:pPr>
            <w:r/>
            <w:r>
              <w:rPr>
                <w:rFonts w:ascii="Calibri" w:hAnsi="Calibri"/>
                <w:b w:val="0"/>
                <w:sz w:val="19"/>
              </w:rPr>
              <w:t>17</w:t>
            </w:r>
          </w:p>
        </w:tc>
        <w:tc>
          <w:tcPr>
            <w:tcW w:type="dxa" w:w="4392"/>
          </w:tcPr>
          <w:p>
            <w:r/>
            <w:r>
              <w:rPr>
                <w:rFonts w:ascii="Calibri" w:hAnsi="Calibri"/>
                <w:b w:val="0"/>
                <w:sz w:val="19"/>
              </w:rPr>
              <w:t>Communications</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2E5496"/>
          </w:tcPr>
          <w:p>
            <w:pPr>
              <w:jc w:val="center"/>
            </w:pPr>
            <w:r/>
            <w:r>
              <w:rPr>
                <w:rFonts w:ascii="Calibri" w:hAnsi="Calibri"/>
                <w:b/>
                <w:color w:val="FFFFFF"/>
                <w:sz w:val="19"/>
              </w:rPr>
              <w:t>3</w:t>
            </w:r>
          </w:p>
        </w:tc>
        <w:tc>
          <w:tcPr>
            <w:tcW w:type="dxa" w:w="576"/>
            <w:shd w:val="clear" w:color="auto" w:fill="2E5496"/>
          </w:tcPr>
          <w:p>
            <w:pPr>
              <w:jc w:val="center"/>
            </w:pPr>
            <w:r/>
            <w:r>
              <w:rPr>
                <w:rFonts w:ascii="Calibri" w:hAnsi="Calibri"/>
                <w:b/>
                <w:color w:val="FFFFFF"/>
                <w:sz w:val="19"/>
              </w:rPr>
              <w:t>3</w:t>
            </w:r>
          </w:p>
        </w:tc>
      </w:tr>
      <w:tr>
        <w:tc>
          <w:tcPr>
            <w:tcW w:type="dxa" w:w="461"/>
          </w:tcPr>
          <w:p>
            <w:pPr>
              <w:jc w:val="center"/>
            </w:pPr>
            <w:r/>
            <w:r>
              <w:rPr>
                <w:rFonts w:ascii="Calibri" w:hAnsi="Calibri"/>
                <w:b w:val="0"/>
                <w:sz w:val="19"/>
              </w:rPr>
              <w:t>18</w:t>
            </w:r>
          </w:p>
        </w:tc>
        <w:tc>
          <w:tcPr>
            <w:tcW w:type="dxa" w:w="4392"/>
          </w:tcPr>
          <w:p>
            <w:r/>
            <w:r>
              <w:rPr>
                <w:rFonts w:ascii="Calibri" w:hAnsi="Calibri"/>
                <w:b w:val="0"/>
                <w:sz w:val="19"/>
              </w:rPr>
              <w:t>Benefits management</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9DC3E6"/>
          </w:tcPr>
          <w:p>
            <w:pPr>
              <w:jc w:val="center"/>
            </w:pPr>
            <w:r/>
            <w:r>
              <w:rPr>
                <w:rFonts w:ascii="Calibri" w:hAnsi="Calibri"/>
                <w:b w:val="0"/>
                <w:color w:val="202020"/>
                <w:sz w:val="19"/>
              </w:rPr>
              <w:t>2</w:t>
            </w:r>
          </w:p>
        </w:tc>
        <w:tc>
          <w:tcPr>
            <w:tcW w:type="dxa" w:w="576"/>
            <w:shd w:val="clear" w:color="auto" w:fill="9DC3E6"/>
          </w:tcPr>
          <w:p>
            <w:pPr>
              <w:jc w:val="center"/>
            </w:pPr>
            <w:r/>
            <w:r>
              <w:rPr>
                <w:rFonts w:ascii="Calibri" w:hAnsi="Calibri"/>
                <w:b w:val="0"/>
                <w:color w:val="202020"/>
                <w:sz w:val="19"/>
              </w:rPr>
              <w:t>2</w:t>
            </w:r>
          </w:p>
        </w:tc>
      </w:tr>
      <w:tr>
        <w:tc>
          <w:tcPr>
            <w:tcW w:type="dxa" w:w="461"/>
          </w:tcPr>
          <w:p>
            <w:pPr>
              <w:jc w:val="center"/>
            </w:pPr>
            <w:r/>
            <w:r>
              <w:rPr>
                <w:rFonts w:ascii="Calibri" w:hAnsi="Calibri"/>
                <w:b w:val="0"/>
                <w:sz w:val="19"/>
              </w:rPr>
              <w:t>19</w:t>
            </w:r>
          </w:p>
        </w:tc>
        <w:tc>
          <w:tcPr>
            <w:tcW w:type="dxa" w:w="4392"/>
          </w:tcPr>
          <w:p>
            <w:r/>
            <w:r>
              <w:rPr>
                <w:rFonts w:ascii="Calibri" w:hAnsi="Calibri"/>
                <w:b w:val="0"/>
                <w:sz w:val="19"/>
              </w:rPr>
              <w:t>Reference-class forecasting</w:t>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FFFFFF"/>
          </w:tcPr>
          <w:p>
            <w:pPr>
              <w:jc w:val="center"/>
            </w:pPr>
            <w:r/>
            <w:r>
              <w:rPr>
                <w:rFonts w:ascii="Calibri" w:hAnsi="Calibri"/>
                <w:b w:val="0"/>
                <w:color w:val="202020"/>
                <w:sz w:val="19"/>
              </w:rPr>
            </w:r>
          </w:p>
        </w:tc>
        <w:tc>
          <w:tcPr>
            <w:tcW w:type="dxa" w:w="576"/>
            <w:shd w:val="clear" w:color="auto" w:fill="D9E2F3"/>
          </w:tcPr>
          <w:p>
            <w:pPr>
              <w:jc w:val="center"/>
            </w:pPr>
            <w:r/>
            <w:r>
              <w:rPr>
                <w:rFonts w:ascii="Calibri" w:hAnsi="Calibri"/>
                <w:b w:val="0"/>
                <w:color w:val="202020"/>
                <w:sz w:val="19"/>
              </w:rPr>
              <w:t>1</w:t>
            </w:r>
          </w:p>
        </w:tc>
        <w:tc>
          <w:tcPr>
            <w:tcW w:type="dxa" w:w="576"/>
            <w:shd w:val="clear" w:color="auto" w:fill="D9E2F3"/>
          </w:tcPr>
          <w:p>
            <w:pPr>
              <w:jc w:val="center"/>
            </w:pPr>
            <w:r/>
            <w:r>
              <w:rPr>
                <w:rFonts w:ascii="Calibri" w:hAnsi="Calibri"/>
                <w:b w:val="0"/>
                <w:color w:val="202020"/>
                <w:sz w:val="19"/>
              </w:rPr>
              <w:t>1</w:t>
            </w:r>
          </w:p>
        </w:tc>
      </w:tr>
    </w:tbl>
    <w:p/>
    <w:p>
      <w:r>
        <w:rPr>
          <w:i/>
          <w:color w:val="595959"/>
          <w:sz w:val="19"/>
        </w:rPr>
        <w:t>Key:  1 Initiate   ·   2 Develop   ·   3 Grow   ·   4 Refine</w:t>
      </w:r>
    </w:p>
    <w:p>
      <w:r>
        <w:rPr>
          <w:b w:val="0"/>
          <w:i w:val="0"/>
        </w:rPr>
        <w:t>Notice the shape. Roles, governance, reporting and RAID come first; tools, training, benefits and reference-class forecasting come later — once the basics hold. The office grows in the order that keeps it stable.</w:t>
      </w:r>
    </w:p>
    <w:p>
      <w:pPr>
        <w:pStyle w:val="Heading1"/>
      </w:pPr>
      <w:r>
        <w:t>5. The hybrid plateau — where most offices settle</w:t>
      </w:r>
    </w:p>
    <w:p>
      <w:r>
        <w:rPr>
          <w:b w:val="0"/>
          <w:i w:val="0"/>
        </w:rPr>
        <w:t>Small and medium organisations rarely need a full, separate EPMO. The sensible destination is a hybrid office that bridges the strategic — which projects to do, tied to strategy — and the tactical — running each project well, sized to fit the organisation's context and culture. Settling here is a legitimate end state, not a failure to “finish” the model. Push to the higher levels only when the volume, value and complexity of change genuinely demand it.</w:t>
      </w:r>
    </w:p>
    <w:p>
      <w:pPr>
        <w:pStyle w:val="Heading1"/>
      </w:pPr>
      <w:r>
        <w:t>6. Using this with SSLM</w:t>
      </w:r>
    </w:p>
    <w:p>
      <w:r>
        <w:rPr>
          <w:b w:val="0"/>
          <w:i w:val="0"/>
        </w:rPr>
        <w:t>This maturity model is the growth arc behind the SSLM PMO page, and the roadmap activities map onto the SSLM artefacts you already use — RAID, reporting, governance and the project pipeline. Grow the office the SSLM way: add each activity only when a real trigger appears, and keep every artefact the lightest thing that does the job. Simple solution, low maintenance — as the office matures, not just when it starts.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