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color w:val="8A8A8A"/>
          <w:sz w:val="20"/>
        </w:rPr>
        <w:t>SSLM · Simple Solution, Low Maintenance</w:t>
      </w:r>
    </w:p>
    <w:p>
      <w:r>
        <w:rPr>
          <w:rFonts w:ascii="Calibri" w:hAnsi="Calibri"/>
          <w:b/>
          <w:color w:val="1F3864"/>
          <w:sz w:val="56"/>
        </w:rPr>
        <w:t>The Flow-to-Executive Translation Guide</w:t>
      </w:r>
    </w:p>
    <w:p>
      <w:r>
        <w:rPr>
          <w:color w:val="595959"/>
          <w:sz w:val="26"/>
        </w:rPr>
        <w:t>Converting team flow signals into board-ready decisions — Enterprise Extension, Tier 3–4</w:t>
      </w:r>
    </w:p>
    <w:p>
      <w:pPr/>
      <w:r>
        <w:t>Purpose. Teams and boards speak different languages. This guide gives the manager a consistent way to convert team-level flow telemetry into the five elements executives decide on, so boards govern in decision language rather than agile telemetry, and streams stay comparable across a portfolio.</w:t>
      </w:r>
    </w:p>
    <w:p>
      <w:pPr/>
      <w:r>
        <w:t>What's inside: when this applies, the altitude break, the five executive elements, the translation table, the integrity check, roles, and how this connects to the Executive Stream One-Pager tool.</w:t>
      </w:r>
    </w:p>
    <w:p>
      <w:pPr>
        <w:pStyle w:val="Heading1"/>
      </w:pPr>
      <w:r>
        <w:t>1. When this applies</w:t>
      </w:r>
    </w:p>
    <w:p>
      <w:pPr/>
      <w:r>
        <w:t>This guide is part of the Enterprise Extension — it applies only once a value stream is governed above team level, by a board or portfolio function, not to a single Tier 1–2 project. Most projects using the core SSLM pack will never need it.</w:t>
      </w:r>
    </w:p>
    <w:p>
      <w:pPr>
        <w:pStyle w:val="Heading1"/>
      </w:pPr>
      <w:r>
        <w:t>2. The altitude break</w:t>
      </w:r>
    </w:p>
    <w:p>
      <w:pPr/>
      <w:r>
        <w:t>A hard boundary sits at the development/operational line. Below it, the manager works in flow — backlog, WIP, velocity, lead time. Above it, the executive sees only what those signals mean for a decision. Nothing team-level crosses the line raw.</w:t>
      </w:r>
    </w:p>
    <w:p>
      <w:pPr>
        <w:pStyle w:val="Heading1"/>
      </w:pPr>
      <w:r>
        <w:t>3. The five executive elements</w:t>
      </w:r>
    </w:p>
    <w:p>
      <w:pPr>
        <w:pStyle w:val="ListBullet"/>
      </w:pPr>
      <w:r>
        <w:t>Alignment — which strategic objective this stream serves.</w:t>
      </w:r>
    </w:p>
    <w:p>
      <w:pPr>
        <w:pStyle w:val="ListBullet"/>
      </w:pPr>
      <w:r>
        <w:t>Confidence — RAG on the committed outcome and date, derived from flow.</w:t>
      </w:r>
    </w:p>
    <w:p>
      <w:pPr>
        <w:pStyle w:val="ListBullet"/>
      </w:pPr>
      <w:r>
        <w:t>Constraint — the one thing most limiting the stream, and the decision needed to clear it.</w:t>
      </w:r>
    </w:p>
    <w:p>
      <w:pPr>
        <w:pStyle w:val="ListBullet"/>
      </w:pPr>
      <w:r>
        <w:t>Value — whether released capability is landing in the operational stream.</w:t>
      </w:r>
    </w:p>
    <w:p>
      <w:pPr>
        <w:pStyle w:val="ListBullet"/>
      </w:pPr>
      <w:r>
        <w:t>Investment — whether spend is buying flow; fund, hold or stop.</w:t>
      </w:r>
    </w:p>
    <w:p>
      <w:pPr>
        <w:pStyle w:val="Heading1"/>
      </w:pPr>
      <w:r>
        <w:t>4. The translation table</w:t>
      </w:r>
    </w:p>
    <w:p>
      <w:pPr/>
      <w:r>
        <w:t>Read each row left to right: a signal the team sees becomes an element the executive decides on.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  <w:r>
              <w:rPr>
                <w:b/>
              </w:rPr>
              <w:t>Flow signal (below the line)</w:t>
            </w:r>
          </w:p>
        </w:tc>
        <w:tc>
          <w:tcPr>
            <w:tcW w:type="dxa" w:w="2880"/>
          </w:tcPr>
          <w:p>
            <w:r/>
            <w:r>
              <w:rPr>
                <w:b/>
              </w:rPr>
              <w:t>Executive element (above)</w:t>
            </w:r>
          </w:p>
        </w:tc>
        <w:tc>
          <w:tcPr>
            <w:tcW w:type="dxa" w:w="2880"/>
          </w:tcPr>
          <w:p>
            <w:r/>
            <w:r>
              <w:rPr>
                <w:b/>
              </w:rPr>
              <w:t>The decision it enables</w:t>
            </w:r>
          </w:p>
        </w:tc>
      </w:tr>
      <w:tr>
        <w:tc>
          <w:tcPr>
            <w:tcW w:type="dxa" w:w="2880"/>
          </w:tcPr>
          <w:p>
            <w:r>
              <w:t>Velocity dropping, WIP climbing</w:t>
            </w:r>
          </w:p>
        </w:tc>
        <w:tc>
          <w:tcPr>
            <w:tcW w:type="dxa" w:w="2880"/>
          </w:tcPr>
          <w:p>
            <w:r>
              <w:t>Confidence</w:t>
            </w:r>
          </w:p>
        </w:tc>
        <w:tc>
          <w:tcPr>
            <w:tcW w:type="dxa" w:w="2880"/>
          </w:tcPr>
          <w:p>
            <w:r>
              <w:t>Clear the blockage, or reset the date</w:t>
            </w:r>
          </w:p>
        </w:tc>
      </w:tr>
      <w:tr>
        <w:tc>
          <w:tcPr>
            <w:tcW w:type="dxa" w:w="2880"/>
          </w:tcPr>
          <w:p>
            <w:r>
              <w:t>Backlog growing faster than throughput</w:t>
            </w:r>
          </w:p>
        </w:tc>
        <w:tc>
          <w:tcPr>
            <w:tcW w:type="dxa" w:w="2880"/>
          </w:tcPr>
          <w:p>
            <w:r>
              <w:t>Constraint</w:t>
            </w:r>
          </w:p>
        </w:tc>
        <w:tc>
          <w:tcPr>
            <w:tcW w:type="dxa" w:w="2880"/>
          </w:tcPr>
          <w:p>
            <w:r>
              <w:t>Re-prioritise the backlog, or fund more capacity</w:t>
            </w:r>
          </w:p>
        </w:tc>
      </w:tr>
      <w:tr>
        <w:tc>
          <w:tcPr>
            <w:tcW w:type="dxa" w:w="2880"/>
          </w:tcPr>
          <w:p>
            <w:r>
              <w:t>Lead time trending up over several cycles</w:t>
            </w:r>
          </w:p>
        </w:tc>
        <w:tc>
          <w:tcPr>
            <w:tcW w:type="dxa" w:w="2880"/>
          </w:tcPr>
          <w:p>
            <w:r>
              <w:t>Constraint</w:t>
            </w:r>
          </w:p>
        </w:tc>
        <w:tc>
          <w:tcPr>
            <w:tcW w:type="dxa" w:w="2880"/>
          </w:tcPr>
          <w:p>
            <w:r>
              <w:t>Authorise clearing a constraint</w:t>
            </w:r>
          </w:p>
        </w:tc>
      </w:tr>
      <w:tr>
        <w:tc>
          <w:tcPr>
            <w:tcW w:type="dxa" w:w="2880"/>
          </w:tcPr>
          <w:p>
            <w:r>
              <w:t>Stream's committed work no longer maps to a current strategic objective</w:t>
            </w:r>
          </w:p>
        </w:tc>
        <w:tc>
          <w:tcPr>
            <w:tcW w:type="dxa" w:w="2880"/>
          </w:tcPr>
          <w:p>
            <w:r>
              <w:t>Alignment</w:t>
            </w:r>
          </w:p>
        </w:tc>
        <w:tc>
          <w:tcPr>
            <w:tcW w:type="dxa" w:w="2880"/>
          </w:tcPr>
          <w:p>
            <w:r>
              <w:t>Re-scope the stream to the current strategy, or formally deprioritise it</w:t>
            </w:r>
          </w:p>
        </w:tc>
      </w:tr>
      <w:tr>
        <w:tc>
          <w:tcPr>
            <w:tcW w:type="dxa" w:w="2880"/>
          </w:tcPr>
          <w:p>
            <w:r>
              <w:t>Released capability shows no usage signal after go-live</w:t>
            </w:r>
          </w:p>
        </w:tc>
        <w:tc>
          <w:tcPr>
            <w:tcW w:type="dxa" w:w="2880"/>
          </w:tcPr>
          <w:p>
            <w:r>
              <w:t>Value</w:t>
            </w:r>
          </w:p>
        </w:tc>
        <w:tc>
          <w:tcPr>
            <w:tcW w:type="dxa" w:w="2880"/>
          </w:tcPr>
          <w:p>
            <w:r>
              <w:t>Investigate adoption blockers, or accept the capability isn't landing</w:t>
            </w:r>
          </w:p>
        </w:tc>
      </w:tr>
      <w:tr>
        <w:tc>
          <w:tcPr>
            <w:tcW w:type="dxa" w:w="2880"/>
          </w:tcPr>
          <w:p>
            <w:r>
              <w:t>Spend continues but throughput stays flat or falls</w:t>
            </w:r>
          </w:p>
        </w:tc>
        <w:tc>
          <w:tcPr>
            <w:tcW w:type="dxa" w:w="2880"/>
          </w:tcPr>
          <w:p>
            <w:r>
              <w:t>Investment</w:t>
            </w:r>
          </w:p>
        </w:tc>
        <w:tc>
          <w:tcPr>
            <w:tcW w:type="dxa" w:w="2880"/>
          </w:tcPr>
          <w:p>
            <w:r>
              <w:t>Hold, reduce, or stop funding until flow recovers</w:t>
            </w:r>
          </w:p>
        </w:tc>
      </w:tr>
    </w:tbl>
    <w:p/>
    <w:p>
      <w:pPr>
        <w:pStyle w:val="Heading1"/>
      </w:pPr>
      <w:r>
        <w:t>5. The integrity check</w:t>
      </w:r>
    </w:p>
    <w:p>
      <w:pPr/>
      <w:r>
        <w:t>The translation is only useful if it's honest. This is Principle 2 (Report the real colour) applied at value-stream altitude — before any element crosses the line:</w:t>
      </w:r>
    </w:p>
    <w:p>
      <w:pPr>
        <w:pStyle w:val="ListBullet"/>
      </w:pPr>
      <w:r>
        <w:t>It must trace to real flow evidence. A status that cannot be tied to a signal does not cross.</w:t>
      </w:r>
    </w:p>
    <w:p>
      <w:pPr>
        <w:pStyle w:val="ListBullet"/>
      </w:pPr>
      <w:r>
        <w:t>No smoothing. An amber that is really red is worse than no report — report the real colour.</w:t>
      </w:r>
    </w:p>
    <w:p>
      <w:pPr>
        <w:pStyle w:val="ListBullet"/>
      </w:pPr>
      <w:r>
        <w:t>One line of evidence per element, so an executive can trust it without seeing the telemetry.</w:t>
      </w:r>
    </w:p>
    <w:p>
      <w:pPr/>
      <w:r>
        <w:t>The test: if a rating cannot be traced to a flow signal in one line, it is not ready to cross the line.</w:t>
      </w:r>
    </w:p>
    <w:p>
      <w:pPr>
        <w:pStyle w:val="Heading1"/>
      </w:pPr>
      <w:r>
        <w:t>6. Roles</w:t>
      </w:r>
    </w:p>
    <w:p>
      <w:pPr>
        <w:pStyle w:val="ListBullet"/>
      </w:pPr>
      <w:r>
        <w:t>Manager (translator) — owns the flow layer, performs the translation, and owns the integrity of what crosses.</w:t>
      </w:r>
    </w:p>
    <w:p>
      <w:pPr>
        <w:pStyle w:val="ListBullet"/>
      </w:pPr>
      <w:r>
        <w:t>Executives — decide on the translated elements; they do not work in the flow layer.</w:t>
      </w:r>
    </w:p>
    <w:p>
      <w:pPr>
        <w:pStyle w:val="ListBullet"/>
      </w:pPr>
      <w:r>
        <w:t>Custodian — owns this guide and the standard mapping, so translation is consistent across streams.</w:t>
      </w:r>
    </w:p>
    <w:p>
      <w:pPr>
        <w:pStyle w:val="Heading1"/>
      </w:pPr>
      <w:r>
        <w:t>7. Using the Executive Stream One-Pager</w:t>
      </w:r>
    </w:p>
    <w:p>
      <w:pPr/>
      <w:r>
        <w:t>The manager derives the one-pager from the weekly flow, once per governance cycle — never re-authored. See the Executive Stream One-Pager Template in this folder.</w:t>
      </w:r>
    </w:p>
    <w:p>
      <w:pPr>
        <w:pStyle w:val="Heading1"/>
      </w:pPr>
      <w:r>
        <w:t>8. Boundaries</w:t>
      </w:r>
    </w:p>
    <w:p>
      <w:pPr>
        <w:pStyle w:val="ListBullet"/>
      </w:pPr>
      <w:r>
        <w:t>No agile telemetry above the line — burn-downs, backlogs and velocity stay with the team.</w:t>
      </w:r>
    </w:p>
    <w:p>
      <w:pPr>
        <w:pStyle w:val="ListBullet"/>
      </w:pPr>
      <w:r>
        <w:t>Standard across streams — the same mapping is used everywhere, which is what makes streams comparable.</w:t>
      </w:r>
    </w:p>
    <w:p>
      <w:pPr>
        <w:pStyle w:val="ListBullet"/>
      </w:pPr>
      <w:r>
        <w:t>Don't pull team artefacts into the boardroom “to check” — that collapses the altitude break and returns the board to governing with telemetry.</w:t>
      </w:r>
    </w:p>
    <w:p>
      <w:pPr/>
      <w:r>
        <w:t>The board decides in one language; the team delivers in another. The manager is the translator — and the translation must be honest.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1F3864"/>
    <w:rsid w:val="001F3864"/>
    <w:rsid w:val="002E5496"/>
    <w:rsid w:val="002E5496"/>
    <w:rsid w:val="001F3864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1F386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1F3864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1F386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E549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E549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864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86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2E5496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1F3864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2E549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2E5496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2E549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F3864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F3864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2E5496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2E5496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1F386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F3864"/>
  </w:style>
  <w:style w:type="paragraph" w:styleId="BodyText2">
    <w:name w:val="Body Text 2"/>
    <w:basedOn w:val="Normal"/>
    <w:link w:val="BodyText2Char"/>
    <w:uiPriority w:val="99"/>
    <w:unhideWhenUsed/>
    <w:rsid w:val="001F386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F3864"/>
  </w:style>
  <w:style w:type="paragraph" w:styleId="BodyText3">
    <w:name w:val="Body Text 3"/>
    <w:basedOn w:val="Normal"/>
    <w:link w:val="BodyText3Char"/>
    <w:uiPriority w:val="99"/>
    <w:unhideWhenUsed/>
    <w:rsid w:val="001F386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F3864"/>
    <w:rPr>
      <w:sz w:val="16"/>
      <w:szCs w:val="16"/>
    </w:rPr>
  </w:style>
  <w:style w:type="paragraph" w:styleId="List">
    <w:name w:val="List"/>
    <w:basedOn w:val="Normal"/>
    <w:uiPriority w:val="99"/>
    <w:unhideWhenUsed/>
    <w:rsid w:val="001F3864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2E5496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2E5496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2E5496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2E5496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2E5496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2E5496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E5496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E5496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E5496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E5496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E5496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E5496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E5496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2E549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1F3864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1F386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2E5496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2E5496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2E5496" w:themeColor="accent1"/>
      </w:pBdr>
      <w:spacing w:before="200" w:after="280"/>
      <w:ind w:left="936" w:right="936"/>
    </w:pPr>
    <w:rPr>
      <w:b/>
      <w:bCs/>
      <w:i/>
      <w:iCs/>
      <w:color w:val="2E549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2E5496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2E5496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1F3864" w:themeColor="accent1" w:themeShade="BF"/>
    </w:rPr>
    <w:tblPr>
      <w:tblStyleRowBandSize w:val="1"/>
      <w:tblStyleColBandSize w:val="1"/>
      <w:tblInd w:w="0" w:type="dxa"/>
      <w:tblBorders>
        <w:top w:val="single" w:sz="8" w:space="0" w:color="2E5496" w:themeColor="accent1"/>
        <w:bottom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5496" w:themeColor="accent1"/>
          <w:left w:val="nil"/>
          <w:bottom w:val="single" w:sz="8" w:space="0" w:color="2E549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5496" w:themeColor="accent1"/>
          <w:left w:val="nil"/>
          <w:bottom w:val="single" w:sz="8" w:space="0" w:color="2E549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1F3864" w:themeColor="accent4" w:themeShade="BF"/>
    </w:rPr>
    <w:tblPr>
      <w:tblStyleRowBandSize w:val="1"/>
      <w:tblStyleColBandSize w:val="1"/>
      <w:tblInd w:w="0" w:type="dxa"/>
      <w:tblBorders>
        <w:top w:val="single" w:sz="8" w:space="0" w:color="1F3864" w:themeColor="accent4"/>
        <w:bottom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3864" w:themeColor="accent4"/>
          <w:left w:val="nil"/>
          <w:bottom w:val="single" w:sz="8" w:space="0" w:color="1F386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3864" w:themeColor="accent4"/>
          <w:left w:val="nil"/>
          <w:bottom w:val="single" w:sz="8" w:space="0" w:color="1F386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2E5496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band1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band1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  <w:insideH w:val="single" w:sz="8" w:space="0" w:color="2E5496" w:themeColor="accent1"/>
        <w:insideV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18" w:space="0" w:color="2E5496" w:themeColor="accent1"/>
          <w:right w:val="single" w:sz="8" w:space="0" w:color="2E5496" w:themeColor="accent1"/>
          <w:insideH w:val="nil"/>
          <w:insideV w:val="single" w:sz="8" w:space="0" w:color="2E549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H w:val="nil"/>
          <w:insideV w:val="single" w:sz="8" w:space="0" w:color="2E549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band1Vert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  <w:shd w:val="clear" w:color="auto" w:fill="D9E2F3" w:themeFill="accent1" w:themeFillTint="3F"/>
      </w:tcPr>
    </w:tblStylePr>
    <w:tblStylePr w:type="band1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V w:val="single" w:sz="8" w:space="0" w:color="2E5496" w:themeColor="accent1"/>
        </w:tcBorders>
        <w:shd w:val="clear" w:color="auto" w:fill="D9E2F3" w:themeFill="accent1" w:themeFillTint="3F"/>
      </w:tcPr>
    </w:tblStylePr>
    <w:tblStylePr w:type="band2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V w:val="single" w:sz="8" w:space="0" w:color="2E5496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  <w:insideH w:val="single" w:sz="8" w:space="0" w:color="1F3864" w:themeColor="accent4"/>
        <w:insideV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18" w:space="0" w:color="1F3864" w:themeColor="accent4"/>
          <w:right w:val="single" w:sz="8" w:space="0" w:color="1F3864" w:themeColor="accent4"/>
          <w:insideH w:val="nil"/>
          <w:insideV w:val="single" w:sz="8" w:space="0" w:color="1F386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H w:val="nil"/>
          <w:insideV w:val="single" w:sz="8" w:space="0" w:color="1F386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band1Vert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  <w:shd w:val="clear" w:color="auto" w:fill="D9E2F3" w:themeFill="accent4" w:themeFillTint="3F"/>
      </w:tcPr>
    </w:tblStylePr>
    <w:tblStylePr w:type="band1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V w:val="single" w:sz="8" w:space="0" w:color="1F3864" w:themeColor="accent4"/>
        </w:tcBorders>
        <w:shd w:val="clear" w:color="auto" w:fill="D9E2F3" w:themeFill="accent4" w:themeFillTint="3F"/>
      </w:tcPr>
    </w:tblStylePr>
    <w:tblStylePr w:type="band2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V w:val="single" w:sz="8" w:space="0" w:color="1F3864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 w:themeTint="BF"/>
        <w:left w:val="single" w:sz="8" w:space="0" w:color="2E5496" w:themeColor="accent1" w:themeTint="BF"/>
        <w:bottom w:val="single" w:sz="8" w:space="0" w:color="2E5496" w:themeColor="accent1" w:themeTint="BF"/>
        <w:right w:val="single" w:sz="8" w:space="0" w:color="2E5496" w:themeColor="accent1" w:themeTint="BF"/>
        <w:insideH w:val="single" w:sz="8" w:space="0" w:color="2E5496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5496" w:themeColor="accent1" w:themeTint="BF"/>
          <w:left w:val="single" w:sz="8" w:space="0" w:color="2E5496" w:themeColor="accent1" w:themeTint="BF"/>
          <w:bottom w:val="single" w:sz="8" w:space="0" w:color="2E5496" w:themeColor="accent1" w:themeTint="BF"/>
          <w:right w:val="single" w:sz="8" w:space="0" w:color="2E5496" w:themeColor="accent1" w:themeTint="BF"/>
          <w:insideH w:val="nil"/>
          <w:insideV w:val="nil"/>
        </w:tcBorders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5496" w:themeColor="accent1" w:themeTint="BF"/>
          <w:left w:val="single" w:sz="8" w:space="0" w:color="2E5496" w:themeColor="accent1" w:themeTint="BF"/>
          <w:bottom w:val="single" w:sz="8" w:space="0" w:color="2E5496" w:themeColor="accent1" w:themeTint="BF"/>
          <w:right w:val="single" w:sz="8" w:space="0" w:color="2E549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2F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9E2F3" w:themeColor="accent4" w:themeTint="BF"/>
        <w:left w:val="single" w:sz="8" w:space="0" w:color="D9E2F3" w:themeColor="accent4" w:themeTint="BF"/>
        <w:bottom w:val="single" w:sz="8" w:space="0" w:color="D9E2F3" w:themeColor="accent4" w:themeTint="BF"/>
        <w:right w:val="single" w:sz="8" w:space="0" w:color="D9E2F3" w:themeColor="accent4" w:themeTint="BF"/>
        <w:insideH w:val="single" w:sz="8" w:space="0" w:color="D9E2F3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E2F3" w:themeColor="accent4" w:themeTint="BF"/>
          <w:left w:val="single" w:sz="8" w:space="0" w:color="D9E2F3" w:themeColor="accent4" w:themeTint="BF"/>
          <w:bottom w:val="single" w:sz="8" w:space="0" w:color="D9E2F3" w:themeColor="accent4" w:themeTint="BF"/>
          <w:right w:val="single" w:sz="8" w:space="0" w:color="D9E2F3" w:themeColor="accent4" w:themeTint="BF"/>
          <w:insideH w:val="nil"/>
          <w:insideV w:val="nil"/>
        </w:tcBorders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E2F3" w:themeColor="accent4" w:themeTint="BF"/>
          <w:left w:val="single" w:sz="8" w:space="0" w:color="D9E2F3" w:themeColor="accent4" w:themeTint="BF"/>
          <w:bottom w:val="single" w:sz="8" w:space="0" w:color="D9E2F3" w:themeColor="accent4" w:themeTint="BF"/>
          <w:right w:val="single" w:sz="8" w:space="0" w:color="D9E2F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2F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54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E549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386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F3864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bottom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E5496" w:themeColor="accent1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2E5496" w:themeColor="accent1"/>
          <w:bottom w:val="single" w:sz="8" w:space="0" w:color="2E54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E5496" w:themeColor="accent1"/>
          <w:bottom w:val="single" w:sz="8" w:space="0" w:color="2E5496" w:themeColor="accent1"/>
        </w:tcBorders>
      </w:tcPr>
    </w:tblStylePr>
    <w:tblStylePr w:type="band1Vert">
      <w:tblPr/>
      <w:tcPr>
        <w:shd w:val="clear" w:color="auto" w:fill="D9E2F3" w:themeFill="accent1" w:themeFillTint="3F"/>
      </w:tcPr>
    </w:tblStylePr>
    <w:tblStylePr w:type="band1Horz">
      <w:tblPr/>
      <w:tcPr>
        <w:shd w:val="clear" w:color="auto" w:fill="D9E2F3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bottom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F3864" w:themeColor="accent4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1F3864" w:themeColor="accent4"/>
          <w:bottom w:val="single" w:sz="8" w:space="0" w:color="1F386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F3864" w:themeColor="accent4"/>
          <w:bottom w:val="single" w:sz="8" w:space="0" w:color="1F3864" w:themeColor="accent4"/>
        </w:tcBorders>
      </w:tcPr>
    </w:tblStylePr>
    <w:tblStylePr w:type="band1Vert">
      <w:tblPr/>
      <w:tcPr>
        <w:shd w:val="clear" w:color="auto" w:fill="D9E2F3" w:themeFill="accent4" w:themeFillTint="3F"/>
      </w:tcPr>
    </w:tblStylePr>
    <w:tblStylePr w:type="band1Horz">
      <w:tblPr/>
      <w:tcPr>
        <w:shd w:val="clear" w:color="auto" w:fill="D9E2F3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E549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E549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E549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E549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2F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F386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F3864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F3864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F3864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2F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 w:themeTint="BF"/>
        <w:left w:val="single" w:sz="8" w:space="0" w:color="2E5496" w:themeColor="accent1" w:themeTint="BF"/>
        <w:bottom w:val="single" w:sz="8" w:space="0" w:color="2E5496" w:themeColor="accent1" w:themeTint="BF"/>
        <w:right w:val="single" w:sz="8" w:space="0" w:color="2E5496" w:themeColor="accent1" w:themeTint="BF"/>
        <w:insideH w:val="single" w:sz="8" w:space="0" w:color="2E5496" w:themeColor="accent1" w:themeTint="BF"/>
        <w:insideV w:val="single" w:sz="8" w:space="0" w:color="2E5496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549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shd w:val="clear" w:color="auto" w:fill="D9E2F3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9E2F3" w:themeColor="accent4" w:themeTint="BF"/>
        <w:left w:val="single" w:sz="8" w:space="0" w:color="D9E2F3" w:themeColor="accent4" w:themeTint="BF"/>
        <w:bottom w:val="single" w:sz="8" w:space="0" w:color="D9E2F3" w:themeColor="accent4" w:themeTint="BF"/>
        <w:right w:val="single" w:sz="8" w:space="0" w:color="D9E2F3" w:themeColor="accent4" w:themeTint="BF"/>
        <w:insideH w:val="single" w:sz="8" w:space="0" w:color="D9E2F3" w:themeColor="accent4" w:themeTint="BF"/>
        <w:insideV w:val="single" w:sz="8" w:space="0" w:color="D9E2F3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E2F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shd w:val="clear" w:color="auto" w:fill="D9E2F3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  <w:insideH w:val="single" w:sz="8" w:space="0" w:color="2E5496" w:themeColor="accent1"/>
        <w:insideV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tcBorders>
          <w:insideH w:val="single" w:sz="6" w:space="0" w:color="2E5496" w:themeColor="accent1"/>
          <w:insideV w:val="single" w:sz="6" w:space="0" w:color="2E5496" w:themeColor="accent1"/>
        </w:tcBorders>
        <w:shd w:val="clear" w:color="auto" w:fill="D9E2F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  <w:insideH w:val="single" w:sz="8" w:space="0" w:color="1F3864" w:themeColor="accent4"/>
        <w:insideV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9E2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4" w:themeFillTint="33"/>
      </w:tc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tcBorders>
          <w:insideH w:val="single" w:sz="6" w:space="0" w:color="1F3864" w:themeColor="accent4"/>
          <w:insideV w:val="single" w:sz="6" w:space="0" w:color="1F3864" w:themeColor="accent4"/>
        </w:tcBorders>
        <w:shd w:val="clear" w:color="auto" w:fill="D9E2F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549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549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E549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E549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E2F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E2F3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386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386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F386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E2F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E2F3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E549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386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F3864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386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2E5496" w:themeColor="accent1"/>
        <w:bottom w:val="single" w:sz="4" w:space="0" w:color="2E5496" w:themeColor="accent1"/>
        <w:right w:val="single" w:sz="4" w:space="0" w:color="2E5496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386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3864" w:themeColor="accent1" w:themeShade="99"/>
          <w:insideV w:val="nil"/>
        </w:tcBorders>
        <w:shd w:val="clear" w:color="auto" w:fill="1F386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99"/>
      </w:tcPr>
    </w:tblStylePr>
    <w:tblStylePr w:type="band1Vert">
      <w:tblPr/>
      <w:tcPr>
        <w:shd w:val="clear" w:color="auto" w:fill="D9E2F3" w:themeFill="accent1" w:themeFillTint="66"/>
      </w:tcPr>
    </w:tblStylePr>
    <w:tblStylePr w:type="band1Horz">
      <w:tblPr/>
      <w:tcPr>
        <w:shd w:val="clear" w:color="auto" w:fill="D9E2F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1F3864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F386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1F3864" w:themeColor="accent4"/>
        <w:bottom w:val="single" w:sz="4" w:space="0" w:color="1F3864" w:themeColor="accent4"/>
        <w:right w:val="single" w:sz="4" w:space="0" w:color="1F3864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386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3864" w:themeColor="accent4" w:themeShade="99"/>
          <w:insideV w:val="nil"/>
        </w:tcBorders>
        <w:shd w:val="clear" w:color="auto" w:fill="1F386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99"/>
      </w:tcPr>
    </w:tblStylePr>
    <w:tblStylePr w:type="band1Vert">
      <w:tblPr/>
      <w:tcPr>
        <w:shd w:val="clear" w:color="auto" w:fill="D9E2F3" w:themeFill="accent4" w:themeFillTint="66"/>
      </w:tcPr>
    </w:tblStylePr>
    <w:tblStylePr w:type="band1Horz">
      <w:tblPr/>
      <w:tcPr>
        <w:shd w:val="clear" w:color="auto" w:fill="D9E2F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F3864" w:themeFill="accent4" w:themeFillShade="CC"/>
      </w:tcPr>
    </w:tblStylePr>
    <w:tblStylePr w:type="lastRow">
      <w:rPr>
        <w:b/>
        <w:bCs/>
        <w:color w:val="1F386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shd w:val="clear" w:color="auto" w:fill="D9E2F3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E5496" w:themeFill="accent5" w:themeFillShade="CC"/>
      </w:tcPr>
    </w:tblStylePr>
    <w:tblStylePr w:type="lastRow">
      <w:rPr>
        <w:b/>
        <w:bCs/>
        <w:color w:val="2E549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D9E2F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2F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F386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F3864" w:themeFill="accent1" w:themeFillShade="BF"/>
      </w:tc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shd w:val="clear" w:color="auto" w:fill="D9E2F3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3"/>
    </w:tcPr>
    <w:tblStylePr w:type="firstRow">
      <w:rPr>
        <w:b/>
        <w:bCs/>
      </w:rPr>
      <w:tblPr/>
      <w:tcPr>
        <w:shd w:val="clear" w:color="auto" w:fill="D9E2F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2F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F386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F3864" w:themeFill="accent4" w:themeFillShade="BF"/>
      </w:tc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shd w:val="clear" w:color="auto" w:fill="D9E2F3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5496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3864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E549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E549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E549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864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86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2E5496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1F3864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2E549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2E5496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2E549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F3864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F3864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2E5496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2E5496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1F386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F3864"/>
  </w:style>
  <w:style w:type="paragraph" w:styleId="BodyText2">
    <w:name w:val="Body Text 2"/>
    <w:basedOn w:val="Normal"/>
    <w:link w:val="BodyText2Char"/>
    <w:uiPriority w:val="99"/>
    <w:unhideWhenUsed/>
    <w:rsid w:val="001F386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F3864"/>
  </w:style>
  <w:style w:type="paragraph" w:styleId="BodyText3">
    <w:name w:val="Body Text 3"/>
    <w:basedOn w:val="Normal"/>
    <w:link w:val="BodyText3Char"/>
    <w:uiPriority w:val="99"/>
    <w:unhideWhenUsed/>
    <w:rsid w:val="001F386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F3864"/>
    <w:rPr>
      <w:sz w:val="16"/>
      <w:szCs w:val="16"/>
    </w:rPr>
  </w:style>
  <w:style w:type="paragraph" w:styleId="List">
    <w:name w:val="List"/>
    <w:basedOn w:val="Normal"/>
    <w:uiPriority w:val="99"/>
    <w:unhideWhenUsed/>
    <w:rsid w:val="001F3864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2E5496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2E5496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2E5496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2E5496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2E5496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2E5496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E5496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E5496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E5496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E5496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E5496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E5496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E5496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2E549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1F3864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1F386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2E5496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2E5496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2E5496" w:themeColor="accent1"/>
      </w:pBdr>
      <w:spacing w:before="200" w:after="280"/>
      <w:ind w:left="936" w:right="936"/>
    </w:pPr>
    <w:rPr>
      <w:b/>
      <w:bCs/>
      <w:i/>
      <w:iCs/>
      <w:color w:val="2E549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2E5496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2E5496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1F3864" w:themeColor="accent1" w:themeShade="BF"/>
    </w:rPr>
    <w:tblPr>
      <w:tblStyleRowBandSize w:val="1"/>
      <w:tblStyleColBandSize w:val="1"/>
      <w:tblInd w:w="0" w:type="dxa"/>
      <w:tblBorders>
        <w:top w:val="single" w:sz="8" w:space="0" w:color="2E5496" w:themeColor="accent1"/>
        <w:bottom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5496" w:themeColor="accent1"/>
          <w:left w:val="nil"/>
          <w:bottom w:val="single" w:sz="8" w:space="0" w:color="2E549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5496" w:themeColor="accent1"/>
          <w:left w:val="nil"/>
          <w:bottom w:val="single" w:sz="8" w:space="0" w:color="2E549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1F3864" w:themeColor="accent4" w:themeShade="BF"/>
    </w:rPr>
    <w:tblPr>
      <w:tblStyleRowBandSize w:val="1"/>
      <w:tblStyleColBandSize w:val="1"/>
      <w:tblInd w:w="0" w:type="dxa"/>
      <w:tblBorders>
        <w:top w:val="single" w:sz="8" w:space="0" w:color="1F3864" w:themeColor="accent4"/>
        <w:bottom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3864" w:themeColor="accent4"/>
          <w:left w:val="nil"/>
          <w:bottom w:val="single" w:sz="8" w:space="0" w:color="1F386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3864" w:themeColor="accent4"/>
          <w:left w:val="nil"/>
          <w:bottom w:val="single" w:sz="8" w:space="0" w:color="1F386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2E5496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band1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band1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  <w:insideH w:val="single" w:sz="8" w:space="0" w:color="2E5496" w:themeColor="accent1"/>
        <w:insideV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18" w:space="0" w:color="2E5496" w:themeColor="accent1"/>
          <w:right w:val="single" w:sz="8" w:space="0" w:color="2E5496" w:themeColor="accent1"/>
          <w:insideH w:val="nil"/>
          <w:insideV w:val="single" w:sz="8" w:space="0" w:color="2E549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H w:val="nil"/>
          <w:insideV w:val="single" w:sz="8" w:space="0" w:color="2E549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band1Vert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  <w:shd w:val="clear" w:color="auto" w:fill="D9E2F3" w:themeFill="accent1" w:themeFillTint="3F"/>
      </w:tcPr>
    </w:tblStylePr>
    <w:tblStylePr w:type="band1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V w:val="single" w:sz="8" w:space="0" w:color="2E5496" w:themeColor="accent1"/>
        </w:tcBorders>
        <w:shd w:val="clear" w:color="auto" w:fill="D9E2F3" w:themeFill="accent1" w:themeFillTint="3F"/>
      </w:tcPr>
    </w:tblStylePr>
    <w:tblStylePr w:type="band2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V w:val="single" w:sz="8" w:space="0" w:color="2E5496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  <w:insideH w:val="single" w:sz="8" w:space="0" w:color="1F3864" w:themeColor="accent4"/>
        <w:insideV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18" w:space="0" w:color="1F3864" w:themeColor="accent4"/>
          <w:right w:val="single" w:sz="8" w:space="0" w:color="1F3864" w:themeColor="accent4"/>
          <w:insideH w:val="nil"/>
          <w:insideV w:val="single" w:sz="8" w:space="0" w:color="1F386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H w:val="nil"/>
          <w:insideV w:val="single" w:sz="8" w:space="0" w:color="1F386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band1Vert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  <w:shd w:val="clear" w:color="auto" w:fill="D9E2F3" w:themeFill="accent4" w:themeFillTint="3F"/>
      </w:tcPr>
    </w:tblStylePr>
    <w:tblStylePr w:type="band1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V w:val="single" w:sz="8" w:space="0" w:color="1F3864" w:themeColor="accent4"/>
        </w:tcBorders>
        <w:shd w:val="clear" w:color="auto" w:fill="D9E2F3" w:themeFill="accent4" w:themeFillTint="3F"/>
      </w:tcPr>
    </w:tblStylePr>
    <w:tblStylePr w:type="band2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V w:val="single" w:sz="8" w:space="0" w:color="1F3864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 w:themeTint="BF"/>
        <w:left w:val="single" w:sz="8" w:space="0" w:color="2E5496" w:themeColor="accent1" w:themeTint="BF"/>
        <w:bottom w:val="single" w:sz="8" w:space="0" w:color="2E5496" w:themeColor="accent1" w:themeTint="BF"/>
        <w:right w:val="single" w:sz="8" w:space="0" w:color="2E5496" w:themeColor="accent1" w:themeTint="BF"/>
        <w:insideH w:val="single" w:sz="8" w:space="0" w:color="2E5496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5496" w:themeColor="accent1" w:themeTint="BF"/>
          <w:left w:val="single" w:sz="8" w:space="0" w:color="2E5496" w:themeColor="accent1" w:themeTint="BF"/>
          <w:bottom w:val="single" w:sz="8" w:space="0" w:color="2E5496" w:themeColor="accent1" w:themeTint="BF"/>
          <w:right w:val="single" w:sz="8" w:space="0" w:color="2E5496" w:themeColor="accent1" w:themeTint="BF"/>
          <w:insideH w:val="nil"/>
          <w:insideV w:val="nil"/>
        </w:tcBorders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5496" w:themeColor="accent1" w:themeTint="BF"/>
          <w:left w:val="single" w:sz="8" w:space="0" w:color="2E5496" w:themeColor="accent1" w:themeTint="BF"/>
          <w:bottom w:val="single" w:sz="8" w:space="0" w:color="2E5496" w:themeColor="accent1" w:themeTint="BF"/>
          <w:right w:val="single" w:sz="8" w:space="0" w:color="2E549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2F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9E2F3" w:themeColor="accent4" w:themeTint="BF"/>
        <w:left w:val="single" w:sz="8" w:space="0" w:color="D9E2F3" w:themeColor="accent4" w:themeTint="BF"/>
        <w:bottom w:val="single" w:sz="8" w:space="0" w:color="D9E2F3" w:themeColor="accent4" w:themeTint="BF"/>
        <w:right w:val="single" w:sz="8" w:space="0" w:color="D9E2F3" w:themeColor="accent4" w:themeTint="BF"/>
        <w:insideH w:val="single" w:sz="8" w:space="0" w:color="D9E2F3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E2F3" w:themeColor="accent4" w:themeTint="BF"/>
          <w:left w:val="single" w:sz="8" w:space="0" w:color="D9E2F3" w:themeColor="accent4" w:themeTint="BF"/>
          <w:bottom w:val="single" w:sz="8" w:space="0" w:color="D9E2F3" w:themeColor="accent4" w:themeTint="BF"/>
          <w:right w:val="single" w:sz="8" w:space="0" w:color="D9E2F3" w:themeColor="accent4" w:themeTint="BF"/>
          <w:insideH w:val="nil"/>
          <w:insideV w:val="nil"/>
        </w:tcBorders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E2F3" w:themeColor="accent4" w:themeTint="BF"/>
          <w:left w:val="single" w:sz="8" w:space="0" w:color="D9E2F3" w:themeColor="accent4" w:themeTint="BF"/>
          <w:bottom w:val="single" w:sz="8" w:space="0" w:color="D9E2F3" w:themeColor="accent4" w:themeTint="BF"/>
          <w:right w:val="single" w:sz="8" w:space="0" w:color="D9E2F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2F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54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E549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386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F3864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bottom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E5496" w:themeColor="accent1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2E5496" w:themeColor="accent1"/>
          <w:bottom w:val="single" w:sz="8" w:space="0" w:color="2E54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E5496" w:themeColor="accent1"/>
          <w:bottom w:val="single" w:sz="8" w:space="0" w:color="2E5496" w:themeColor="accent1"/>
        </w:tcBorders>
      </w:tcPr>
    </w:tblStylePr>
    <w:tblStylePr w:type="band1Vert">
      <w:tblPr/>
      <w:tcPr>
        <w:shd w:val="clear" w:color="auto" w:fill="D9E2F3" w:themeFill="accent1" w:themeFillTint="3F"/>
      </w:tcPr>
    </w:tblStylePr>
    <w:tblStylePr w:type="band1Horz">
      <w:tblPr/>
      <w:tcPr>
        <w:shd w:val="clear" w:color="auto" w:fill="D9E2F3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bottom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F3864" w:themeColor="accent4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1F3864" w:themeColor="accent4"/>
          <w:bottom w:val="single" w:sz="8" w:space="0" w:color="1F386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F3864" w:themeColor="accent4"/>
          <w:bottom w:val="single" w:sz="8" w:space="0" w:color="1F3864" w:themeColor="accent4"/>
        </w:tcBorders>
      </w:tcPr>
    </w:tblStylePr>
    <w:tblStylePr w:type="band1Vert">
      <w:tblPr/>
      <w:tcPr>
        <w:shd w:val="clear" w:color="auto" w:fill="D9E2F3" w:themeFill="accent4" w:themeFillTint="3F"/>
      </w:tcPr>
    </w:tblStylePr>
    <w:tblStylePr w:type="band1Horz">
      <w:tblPr/>
      <w:tcPr>
        <w:shd w:val="clear" w:color="auto" w:fill="D9E2F3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E549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E549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E549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E549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2F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F386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F3864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F3864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F3864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2F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 w:themeTint="BF"/>
        <w:left w:val="single" w:sz="8" w:space="0" w:color="2E5496" w:themeColor="accent1" w:themeTint="BF"/>
        <w:bottom w:val="single" w:sz="8" w:space="0" w:color="2E5496" w:themeColor="accent1" w:themeTint="BF"/>
        <w:right w:val="single" w:sz="8" w:space="0" w:color="2E5496" w:themeColor="accent1" w:themeTint="BF"/>
        <w:insideH w:val="single" w:sz="8" w:space="0" w:color="2E5496" w:themeColor="accent1" w:themeTint="BF"/>
        <w:insideV w:val="single" w:sz="8" w:space="0" w:color="2E5496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549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shd w:val="clear" w:color="auto" w:fill="D9E2F3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9E2F3" w:themeColor="accent4" w:themeTint="BF"/>
        <w:left w:val="single" w:sz="8" w:space="0" w:color="D9E2F3" w:themeColor="accent4" w:themeTint="BF"/>
        <w:bottom w:val="single" w:sz="8" w:space="0" w:color="D9E2F3" w:themeColor="accent4" w:themeTint="BF"/>
        <w:right w:val="single" w:sz="8" w:space="0" w:color="D9E2F3" w:themeColor="accent4" w:themeTint="BF"/>
        <w:insideH w:val="single" w:sz="8" w:space="0" w:color="D9E2F3" w:themeColor="accent4" w:themeTint="BF"/>
        <w:insideV w:val="single" w:sz="8" w:space="0" w:color="D9E2F3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E2F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shd w:val="clear" w:color="auto" w:fill="D9E2F3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  <w:insideH w:val="single" w:sz="8" w:space="0" w:color="2E5496" w:themeColor="accent1"/>
        <w:insideV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tcBorders>
          <w:insideH w:val="single" w:sz="6" w:space="0" w:color="2E5496" w:themeColor="accent1"/>
          <w:insideV w:val="single" w:sz="6" w:space="0" w:color="2E5496" w:themeColor="accent1"/>
        </w:tcBorders>
        <w:shd w:val="clear" w:color="auto" w:fill="D9E2F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  <w:insideH w:val="single" w:sz="8" w:space="0" w:color="1F3864" w:themeColor="accent4"/>
        <w:insideV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9E2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4" w:themeFillTint="33"/>
      </w:tc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tcBorders>
          <w:insideH w:val="single" w:sz="6" w:space="0" w:color="1F3864" w:themeColor="accent4"/>
          <w:insideV w:val="single" w:sz="6" w:space="0" w:color="1F3864" w:themeColor="accent4"/>
        </w:tcBorders>
        <w:shd w:val="clear" w:color="auto" w:fill="D9E2F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549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549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E549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E549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E2F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E2F3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386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386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F386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E2F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E2F3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E549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386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F3864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386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2E5496" w:themeColor="accent1"/>
        <w:bottom w:val="single" w:sz="4" w:space="0" w:color="2E5496" w:themeColor="accent1"/>
        <w:right w:val="single" w:sz="4" w:space="0" w:color="2E5496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386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3864" w:themeColor="accent1" w:themeShade="99"/>
          <w:insideV w:val="nil"/>
        </w:tcBorders>
        <w:shd w:val="clear" w:color="auto" w:fill="1F386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99"/>
      </w:tcPr>
    </w:tblStylePr>
    <w:tblStylePr w:type="band1Vert">
      <w:tblPr/>
      <w:tcPr>
        <w:shd w:val="clear" w:color="auto" w:fill="D9E2F3" w:themeFill="accent1" w:themeFillTint="66"/>
      </w:tcPr>
    </w:tblStylePr>
    <w:tblStylePr w:type="band1Horz">
      <w:tblPr/>
      <w:tcPr>
        <w:shd w:val="clear" w:color="auto" w:fill="D9E2F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1F3864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F386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1F3864" w:themeColor="accent4"/>
        <w:bottom w:val="single" w:sz="4" w:space="0" w:color="1F3864" w:themeColor="accent4"/>
        <w:right w:val="single" w:sz="4" w:space="0" w:color="1F3864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386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3864" w:themeColor="accent4" w:themeShade="99"/>
          <w:insideV w:val="nil"/>
        </w:tcBorders>
        <w:shd w:val="clear" w:color="auto" w:fill="1F386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99"/>
      </w:tcPr>
    </w:tblStylePr>
    <w:tblStylePr w:type="band1Vert">
      <w:tblPr/>
      <w:tcPr>
        <w:shd w:val="clear" w:color="auto" w:fill="D9E2F3" w:themeFill="accent4" w:themeFillTint="66"/>
      </w:tcPr>
    </w:tblStylePr>
    <w:tblStylePr w:type="band1Horz">
      <w:tblPr/>
      <w:tcPr>
        <w:shd w:val="clear" w:color="auto" w:fill="D9E2F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F3864" w:themeFill="accent4" w:themeFillShade="CC"/>
      </w:tcPr>
    </w:tblStylePr>
    <w:tblStylePr w:type="lastRow">
      <w:rPr>
        <w:b/>
        <w:bCs/>
        <w:color w:val="1F386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shd w:val="clear" w:color="auto" w:fill="D9E2F3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E5496" w:themeFill="accent5" w:themeFillShade="CC"/>
      </w:tcPr>
    </w:tblStylePr>
    <w:tblStylePr w:type="lastRow">
      <w:rPr>
        <w:b/>
        <w:bCs/>
        <w:color w:val="2E549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D9E2F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2F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F386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F3864" w:themeFill="accent1" w:themeFillShade="BF"/>
      </w:tc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shd w:val="clear" w:color="auto" w:fill="D9E2F3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3"/>
    </w:tcPr>
    <w:tblStylePr w:type="firstRow">
      <w:rPr>
        <w:b/>
        <w:bCs/>
      </w:rPr>
      <w:tblPr/>
      <w:tcPr>
        <w:shd w:val="clear" w:color="auto" w:fill="D9E2F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2F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F386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F3864" w:themeFill="accent4" w:themeFillShade="BF"/>
      </w:tc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shd w:val="clear" w:color="auto" w:fill="D9E2F3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5496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SSLM">
      <a:dk1>
        <a:srgbClr val="1F2430"/>
      </a:dk1>
      <a:lt1>
        <a:srgbClr val="FFFFFF"/>
      </a:lt1>
      <a:dk2>
        <a:srgbClr val="1F3864"/>
      </a:dk2>
      <a:lt2>
        <a:srgbClr val="D9E2F3"/>
      </a:lt2>
      <a:accent1>
        <a:srgbClr val="1F3864"/>
      </a:accent1>
      <a:accent2>
        <a:srgbClr val="C55A11"/>
      </a:accent2>
      <a:accent3>
        <a:srgbClr val="548235"/>
      </a:accent3>
      <a:accent4>
        <a:srgbClr val="2E5496"/>
      </a:accent4>
      <a:accent5>
        <a:srgbClr val="9DC3E6"/>
      </a:accent5>
      <a:accent6>
        <a:srgbClr val="5B6472"/>
      </a:accent6>
      <a:hlink>
        <a:srgbClr val="2E5496"/>
      </a:hlink>
      <a:folHlink>
        <a:srgbClr val="C55A1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