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8A8A8A"/>
          <w:sz w:val="20"/>
        </w:rPr>
        <w:t>SSLM · Simple Solution, Low Maintenance</w:t>
      </w:r>
    </w:p>
    <w:p>
      <w:r>
        <w:rPr>
          <w:rFonts w:ascii="Calibri" w:hAnsi="Calibri"/>
          <w:b/>
          <w:color w:val="1F3864"/>
          <w:sz w:val="56"/>
        </w:rPr>
        <w:t>The Programs &amp; Portfolios Guide</w:t>
      </w:r>
    </w:p>
    <w:p>
      <w:r>
        <w:rPr>
          <w:color w:val="595959"/>
          <w:sz w:val="26"/>
        </w:rPr>
        <w:t>Scaling SSLM above a single project — Enterprise Extension, Tier 4</w:t>
      </w:r>
    </w:p>
    <w:p>
      <w:pPr/>
      <w:r>
        <w:t>Purpose. SSLM scales above a single project using the same roll-up mechanism — nothing new is invented. This guide covers what's genuinely different at program and portfolio scale: cross-project dependencies, shared constraints, portfolio prioritisation, and benefits aggregation.</w:t>
      </w:r>
    </w:p>
    <w:p>
      <w:pPr/>
      <w:r>
        <w:t>What's inside: why roll-up is fractal, what's genuinely new at scale, accountability at every layer, the discipline of composing rather than re-authoring, and how the existing tools apply at this altitude.</w:t>
      </w:r>
    </w:p>
    <w:p>
      <w:pPr>
        <w:pStyle w:val="Heading1"/>
      </w:pPr>
      <w:r>
        <w:t>1. Roll-up is fractal</w:t>
      </w:r>
    </w:p>
    <w:p>
      <w:pPr/>
      <w:r>
        <w:t>What a milestone is to a project, a project is to a program, and a program is to a portfolio. Each layer reads the one below it at its top level only. The instruments don't change — the RAID log, the weekly, monthly and board reports, the PTIP and the Executive Stream One-Pager are simply applied a level up.</w:t>
      </w:r>
    </w:p>
    <w:p>
      <w:pPr>
        <w:pStyle w:val="Heading1"/>
      </w:pPr>
      <w:r>
        <w:t>2. What's genuinely new at scale</w:t>
      </w:r>
    </w:p>
    <w:p>
      <w:pPr>
        <w:pStyle w:val="ListBullet"/>
      </w:pPr>
      <w:r>
        <w:t>Cross-project dependencies — the Dependencies arm of RAID becomes a shared, program-level view, not just a per-project log.</w:t>
      </w:r>
    </w:p>
    <w:p>
      <w:pPr>
        <w:pStyle w:val="ListBullet"/>
      </w:pPr>
      <w:r>
        <w:t>Shared constraints — Principle 5 (Prioritise) applies across projects, not just within one: which project gets the scarce resource when several compete.</w:t>
      </w:r>
    </w:p>
    <w:p>
      <w:pPr>
        <w:pStyle w:val="ListBullet"/>
      </w:pPr>
      <w:r>
        <w:t>Portfolio prioritisation — the PTIP sequences and funds programs and projects against strategic objectives, Anchor to Purpose applied at scale.</w:t>
      </w:r>
    </w:p>
    <w:p>
      <w:pPr>
        <w:pStyle w:val="ListBullet"/>
      </w:pPr>
      <w:r>
        <w:t>Benefits aggregation — summing benefits across the portfolio, an optional Tier 4 capability using the existing Benefit Register roll-up, never project-level overhead.</w:t>
      </w:r>
    </w:p>
    <w:p>
      <w:pPr>
        <w:pStyle w:val="Heading1"/>
      </w:pPr>
      <w:r>
        <w:t>3. One accountable owner at every layer</w:t>
      </w:r>
    </w:p>
    <w:p>
      <w:pPr/>
      <w:r>
        <w:t>Principle 1 (Clear accountability &amp; authority) repeats up the stack: a project owner, a program owner, a portfolio owner or board, each accountable for their own layer's outcome. The custodian still owns the standard blocks underneath all of them.</w:t>
      </w:r>
    </w:p>
    <w:p>
      <w:pPr>
        <w:pStyle w:val="Heading1"/>
      </w:pPr>
      <w:r>
        <w:t>4. Roll-up composes; it must not re-author</w:t>
      </w:r>
    </w:p>
    <w:p>
      <w:pPr/>
      <w:r>
        <w:t>Program and portfolio reports are composed from the reports below them, not re-written. If a program manager is re-authoring status rather than composing it, the roll-up has broken, and the reporting burden SSLM exists to remove has crept back in.</w:t>
      </w:r>
    </w:p>
    <w:p>
      <w:pPr>
        <w:pStyle w:val="Heading1"/>
      </w:pPr>
      <w:r>
        <w:t>5. Using the existing tools at this altitude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Instrument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At project level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At program/portfolio level</w:t>
            </w:r>
          </w:p>
        </w:tc>
      </w:tr>
      <w:tr>
        <w:tc>
          <w:tcPr>
            <w:tcW w:type="dxa" w:w="2880"/>
          </w:tcPr>
          <w:p>
            <w:r>
              <w:t>RAID log</w:t>
            </w:r>
          </w:p>
        </w:tc>
        <w:tc>
          <w:tcPr>
            <w:tcW w:type="dxa" w:w="2880"/>
          </w:tcPr>
          <w:p>
            <w:r>
              <w:t>Per-project risks, issues, dependencies</w:t>
            </w:r>
          </w:p>
        </w:tc>
        <w:tc>
          <w:tcPr>
            <w:tcW w:type="dxa" w:w="2880"/>
          </w:tcPr>
          <w:p>
            <w:r>
              <w:t>Shared dependency and constraint view across projects</w:t>
            </w:r>
          </w:p>
        </w:tc>
      </w:tr>
      <w:tr>
        <w:tc>
          <w:tcPr>
            <w:tcW w:type="dxa" w:w="2880"/>
          </w:tcPr>
          <w:p>
            <w:r>
              <w:t>PTIP</w:t>
            </w:r>
          </w:p>
        </w:tc>
        <w:tc>
          <w:tcPr>
            <w:tcW w:type="dxa" w:w="2880"/>
          </w:tcPr>
          <w:p>
            <w:r>
              <w:t>N/A (Business Case instead)</w:t>
            </w:r>
          </w:p>
        </w:tc>
        <w:tc>
          <w:tcPr>
            <w:tcW w:type="dxa" w:w="2880"/>
          </w:tcPr>
          <w:p>
            <w:r>
              <w:t>Sequences and funds all initiatives against strategy</w:t>
            </w:r>
          </w:p>
        </w:tc>
      </w:tr>
      <w:tr>
        <w:tc>
          <w:tcPr>
            <w:tcW w:type="dxa" w:w="2880"/>
          </w:tcPr>
          <w:p>
            <w:r>
              <w:t>Benefit Register</w:t>
            </w:r>
          </w:p>
        </w:tc>
        <w:tc>
          <w:tcPr>
            <w:tcW w:type="dxa" w:w="2880"/>
          </w:tcPr>
          <w:p>
            <w:r>
              <w:t>Per-project benefit lines</w:t>
            </w:r>
          </w:p>
        </w:tc>
        <w:tc>
          <w:tcPr>
            <w:tcW w:type="dxa" w:w="2880"/>
          </w:tcPr>
          <w:p>
            <w:r>
              <w:t>Optional cumulative portfolio benefits view</w:t>
            </w:r>
          </w:p>
        </w:tc>
      </w:tr>
      <w:tr>
        <w:tc>
          <w:tcPr>
            <w:tcW w:type="dxa" w:w="2880"/>
          </w:tcPr>
          <w:p>
            <w:r>
              <w:t>Monthly Report to BoM</w:t>
            </w:r>
          </w:p>
        </w:tc>
        <w:tc>
          <w:tcPr>
            <w:tcW w:type="dxa" w:w="2880"/>
          </w:tcPr>
          <w:p>
            <w:r>
              <w:t>Monthly project status</w:t>
            </w:r>
          </w:p>
        </w:tc>
        <w:tc>
          <w:tcPr>
            <w:tcW w:type="dxa" w:w="2880"/>
          </w:tcPr>
          <w:p>
            <w:r>
              <w:t>Composed into portfolio-level reporting</w:t>
            </w:r>
          </w:p>
        </w:tc>
      </w:tr>
    </w:tbl>
    <w:p/>
    <w:p>
      <w:pPr>
        <w:pStyle w:val="Heading1"/>
      </w:pPr>
      <w:r>
        <w:t>6. Roles</w:t>
      </w:r>
    </w:p>
    <w:p>
      <w:pPr>
        <w:pStyle w:val="ListBullet"/>
      </w:pPr>
      <w:r>
        <w:t>Program or portfolio owner — accountable for their layer's outcome.</w:t>
      </w:r>
    </w:p>
    <w:p>
      <w:pPr>
        <w:pStyle w:val="ListBullet"/>
      </w:pPr>
      <w:r>
        <w:t>PMO / EPMO — maintains the roll-up discipline across projects (see the EPMO Build &amp; Maturity Guide).</w:t>
      </w:r>
    </w:p>
    <w:p>
      <w:pPr>
        <w:pStyle w:val="Heading1"/>
      </w:pPr>
      <w:r>
        <w:t>7. Boundaries</w:t>
      </w:r>
    </w:p>
    <w:p>
      <w:pPr>
        <w:pStyle w:val="ListBullet"/>
      </w:pPr>
      <w:r>
        <w:t>This guide doesn't replace the core pack's instruments — it explains how to point them at a higher altitude.</w:t>
      </w:r>
    </w:p>
    <w:p>
      <w:pPr>
        <w:pStyle w:val="ListBullet"/>
      </w:pPr>
      <w:r>
        <w:t>Not mandatory — most organisations using SSLM will run single projects and never need this layer.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