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rPr>
          <w:rFonts w:ascii="Calibri" w:hAnsi="Calibri"/>
          <w:b w:val="0"/>
          <w:i w:val="0"/>
          <w:color w:val="8A8A8A"/>
          <w:sz w:val="20"/>
        </w:rPr>
        <w:t>SSLM · Simple Solution, Low Maintenance</w:t>
      </w:r>
    </w:p>
    <w:p>
      <w:pPr>
        <w:jc w:val="center"/>
      </w:pPr>
      <w:r>
        <w:rPr>
          <w:rFonts w:ascii="Calibri" w:hAnsi="Calibri"/>
          <w:b/>
          <w:i w:val="0"/>
          <w:color w:val="1F3864"/>
          <w:sz w:val="52"/>
        </w:rPr>
        <w:t>The Relationship Management Guide</w:t>
      </w:r>
    </w:p>
    <w:p>
      <w:pPr>
        <w:jc w:val="center"/>
      </w:pPr>
      <w:r>
        <w:rPr>
          <w:rFonts w:ascii="Calibri" w:hAnsi="Calibri"/>
          <w:b w:val="0"/>
          <w:i/>
          <w:color w:val="595959"/>
          <w:sz w:val="26"/>
        </w:rPr>
        <w:t>The core skill of the Value Stream Manager</w:t>
      </w:r>
    </w:p>
    <w:p w14:paraId="59B1DAF2" w14:textId="77777777" w:rsidR="00E84FE2" w:rsidRDefault="00000000">
      <w:pPr>
        <w:pStyle w:val="Heading1"/>
      </w:pPr>
      <w:bookmarkStart w:id="0" w:name="_Toc235612755"/>
      <w:r>
        <w:lastRenderedPageBreak/>
        <w:t>1. Why relationship management is the core skill</w:t>
      </w:r>
      <w:bookmarkEnd w:id="0"/>
    </w:p>
    <w:p w14:paraId="172957C6" w14:textId="77777777" w:rsidR="00E84FE2" w:rsidRDefault="00000000">
      <w:pPr>
        <w:spacing w:after="140" w:line="276" w:lineRule="auto"/>
      </w:pPr>
      <w:r>
        <w:t>A Value Stream Manager is unusual: they are accountable for the whole flow of value across many departments, yet they usually have little or no direct authority over the people doing the work. The sales, procurement, production, quality and dispatch staff whose work makes up the stream almost always report to someone else.</w:t>
      </w:r>
    </w:p>
    <w:tbl>
      <w:tblPr>
        <w:tblW w:w="9360" w:type="dxa"/>
        <w:tblBorders>
          <w:top w:val="single" w:sz="2" w:space="0" w:color="D9E2F3"/>
          <w:left w:val="single" w:sz="24" w:space="0" w:color="2E5496"/>
          <w:bottom w:val="single" w:sz="2" w:space="0" w:color="D9E2F3"/>
          <w:right w:val="single" w:sz="2" w:space="0" w:color="D9E2F3"/>
        </w:tblBorders>
        <w:tblCellMar>
          <w:left w:w="10" w:type="dxa"/>
          <w:right w:w="10" w:type="dxa"/>
        </w:tblCellMar>
        <w:tblLook w:val="0000" w:firstRow="0" w:lastRow="0" w:firstColumn="0" w:lastColumn="0" w:noHBand="0" w:noVBand="0"/>
      </w:tblPr>
      <w:tblGrid>
        <w:gridCol w:w="9360"/>
      </w:tblGrid>
      <w:tr w:rsidR="00E84FE2" w14:paraId="39431811" w14:textId="77777777">
        <w:tblPrEx>
          <w:tblCellMar>
            <w:top w:w="0" w:type="dxa"/>
            <w:bottom w:w="0" w:type="dxa"/>
          </w:tblCellMar>
        </w:tblPrEx>
        <w:tc>
          <w:tcPr>
            <w:tcW w:w="9360" w:type="dxa"/>
            <w:shd w:val="clear" w:color="auto" w:fill="D9E2F3"/>
            <w:tcMar>
              <w:top w:w="120" w:type="dxa"/>
              <w:left w:w="180" w:type="dxa"/>
              <w:bottom w:w="120" w:type="dxa"/>
              <w:right w:w="180" w:type="dxa"/>
            </w:tcMar>
          </w:tcPr>
          <w:p w14:paraId="281902F3" w14:textId="77777777" w:rsidR="00E84FE2" w:rsidRDefault="00000000">
            <w:pPr>
              <w:spacing w:after="60"/>
            </w:pPr>
            <w:r>
              <w:rPr>
                <w:b/>
                <w:bCs/>
                <w:color w:val="1F3864"/>
              </w:rPr>
              <w:t>The core idea in one sentence</w:t>
            </w:r>
          </w:p>
          <w:p w14:paraId="6292EAB5" w14:textId="77777777" w:rsidR="00E84FE2" w:rsidRDefault="00000000">
            <w:pPr>
              <w:spacing w:line="264" w:lineRule="auto"/>
            </w:pPr>
            <w:r>
              <w:rPr>
                <w:color w:val="333333"/>
                <w:sz w:val="21"/>
                <w:szCs w:val="21"/>
              </w:rPr>
              <w:t>Relationship management is the deliberate work of building trust and cooperation with everyone the value stream touches — so that value keeps flowing even though the manager cannot simply give orders.</w:t>
            </w:r>
          </w:p>
        </w:tc>
      </w:tr>
    </w:tbl>
    <w:p w14:paraId="5DFF16BF" w14:textId="77777777" w:rsidR="00E84FE2" w:rsidRDefault="00000000">
      <w:pPr>
        <w:spacing w:line="276" w:lineRule="auto"/>
      </w:pPr>
      <w:r>
        <w:t xml:space="preserve">This is why relationship management sits at the heart of the role. The value stream map tells you </w:t>
      </w:r>
    </w:p>
    <w:p w14:paraId="1E187DAC" w14:textId="77777777" w:rsidR="00E84FE2" w:rsidRDefault="00000000">
      <w:pPr>
        <w:spacing w:after="140" w:line="276" w:lineRule="auto"/>
      </w:pPr>
      <w:r>
        <w:rPr>
          <w:i/>
          <w:iCs/>
        </w:rPr>
        <w:t>what</w:t>
      </w:r>
      <w:r>
        <w:t xml:space="preserve"> to change and the metrics tell you </w:t>
      </w:r>
      <w:r>
        <w:rPr>
          <w:i/>
          <w:iCs/>
        </w:rPr>
        <w:t>whether</w:t>
      </w:r>
      <w:r>
        <w:t xml:space="preserve"> it worked — but relationships are </w:t>
      </w:r>
      <w:r>
        <w:rPr>
          <w:i/>
          <w:iCs/>
        </w:rPr>
        <w:t>how</w:t>
      </w:r>
      <w:r>
        <w:t xml:space="preserve"> change actually happens. Without them, even a perfect plan stalls.</w:t>
      </w:r>
    </w:p>
    <w:tbl>
      <w:tblPr>
        <w:tblW w:w="9360" w:type="dxa"/>
        <w:tblBorders>
          <w:top w:val="single" w:sz="2" w:space="0" w:color="F1F6EC"/>
          <w:left w:val="single" w:sz="24" w:space="0" w:color="2E7D46"/>
          <w:bottom w:val="single" w:sz="2" w:space="0" w:color="F1F6EC"/>
          <w:right w:val="single" w:sz="2" w:space="0" w:color="F1F6EC"/>
        </w:tblBorders>
        <w:tblCellMar>
          <w:left w:w="10" w:type="dxa"/>
          <w:right w:w="10" w:type="dxa"/>
        </w:tblCellMar>
        <w:tblLook w:val="0000" w:firstRow="0" w:lastRow="0" w:firstColumn="0" w:lastColumn="0" w:noHBand="0" w:noVBand="0"/>
      </w:tblPr>
      <w:tblGrid>
        <w:gridCol w:w="9360"/>
      </w:tblGrid>
      <w:tr w:rsidR="00E84FE2" w14:paraId="223DD12C" w14:textId="77777777">
        <w:tblPrEx>
          <w:tblCellMar>
            <w:top w:w="0" w:type="dxa"/>
            <w:bottom w:w="0" w:type="dxa"/>
          </w:tblCellMar>
        </w:tblPrEx>
        <w:tc>
          <w:tcPr>
            <w:tcW w:w="9360" w:type="dxa"/>
            <w:shd w:val="clear" w:color="auto" w:fill="F1F6EC"/>
            <w:tcMar>
              <w:top w:w="120" w:type="dxa"/>
              <w:left w:w="180" w:type="dxa"/>
              <w:bottom w:w="120" w:type="dxa"/>
              <w:right w:w="180" w:type="dxa"/>
            </w:tcMar>
          </w:tcPr>
          <w:p w14:paraId="2C99F29F" w14:textId="77777777" w:rsidR="00E84FE2" w:rsidRDefault="00000000">
            <w:pPr>
              <w:spacing w:after="60"/>
            </w:pPr>
            <w:r>
              <w:rPr>
                <w:b/>
                <w:bCs/>
                <w:color w:val="1F3864"/>
              </w:rPr>
              <w:t>Put simply</w:t>
            </w:r>
          </w:p>
          <w:p w14:paraId="28FD8E03" w14:textId="77777777" w:rsidR="00E84FE2" w:rsidRDefault="00000000">
            <w:pPr>
              <w:spacing w:line="264" w:lineRule="auto"/>
            </w:pPr>
            <w:r>
              <w:rPr>
                <w:b/>
                <w:bCs/>
                <w:color w:val="333333"/>
                <w:sz w:val="21"/>
                <w:szCs w:val="21"/>
              </w:rPr>
              <w:t>Authority</w:t>
            </w:r>
            <w:r>
              <w:rPr>
                <w:color w:val="333333"/>
                <w:sz w:val="21"/>
                <w:szCs w:val="21"/>
              </w:rPr>
              <w:t xml:space="preserve"> gets compliance. </w:t>
            </w:r>
            <w:r>
              <w:rPr>
                <w:b/>
                <w:bCs/>
                <w:color w:val="333333"/>
                <w:sz w:val="21"/>
                <w:szCs w:val="21"/>
              </w:rPr>
              <w:t>Relationships</w:t>
            </w:r>
            <w:r>
              <w:rPr>
                <w:color w:val="333333"/>
                <w:sz w:val="21"/>
                <w:szCs w:val="21"/>
              </w:rPr>
              <w:t xml:space="preserve"> get commitment. A Value Stream Manager needs commitment, because improvement depends on people choosing to change how they work.</w:t>
            </w:r>
          </w:p>
        </w:tc>
      </w:tr>
    </w:tbl>
    <w:p w14:paraId="388E54C9" w14:textId="77777777" w:rsidR="00E84FE2" w:rsidRDefault="00000000">
      <w:pPr>
        <w:pStyle w:val="Heading1"/>
      </w:pPr>
      <w:bookmarkStart w:id="1" w:name="_Toc235612756"/>
      <w:r>
        <w:t>2. What relationship management actually means</w:t>
      </w:r>
      <w:bookmarkEnd w:id="1"/>
    </w:p>
    <w:tbl>
      <w:tblPr>
        <w:tblW w:w="9360" w:type="dxa"/>
        <w:tblBorders>
          <w:top w:val="single" w:sz="2" w:space="0" w:color="D9E2F3"/>
          <w:left w:val="single" w:sz="24" w:space="0" w:color="2E5496"/>
          <w:bottom w:val="single" w:sz="2" w:space="0" w:color="D9E2F3"/>
          <w:right w:val="single" w:sz="2" w:space="0" w:color="D9E2F3"/>
        </w:tblBorders>
        <w:tblCellMar>
          <w:left w:w="10" w:type="dxa"/>
          <w:right w:w="10" w:type="dxa"/>
        </w:tblCellMar>
        <w:tblLook w:val="0000" w:firstRow="0" w:lastRow="0" w:firstColumn="0" w:lastColumn="0" w:noHBand="0" w:noVBand="0"/>
      </w:tblPr>
      <w:tblGrid>
        <w:gridCol w:w="9360"/>
      </w:tblGrid>
      <w:tr w:rsidR="00E84FE2" w14:paraId="7D00F28C" w14:textId="77777777">
        <w:tblPrEx>
          <w:tblCellMar>
            <w:top w:w="0" w:type="dxa"/>
            <w:bottom w:w="0" w:type="dxa"/>
          </w:tblCellMar>
        </w:tblPrEx>
        <w:tc>
          <w:tcPr>
            <w:tcW w:w="9360" w:type="dxa"/>
            <w:shd w:val="clear" w:color="auto" w:fill="D9E2F3"/>
            <w:tcMar>
              <w:top w:w="120" w:type="dxa"/>
              <w:left w:w="180" w:type="dxa"/>
              <w:bottom w:w="120" w:type="dxa"/>
              <w:right w:w="180" w:type="dxa"/>
            </w:tcMar>
          </w:tcPr>
          <w:p w14:paraId="475767A7" w14:textId="77777777" w:rsidR="00E84FE2" w:rsidRDefault="00000000">
            <w:pPr>
              <w:spacing w:after="60"/>
            </w:pPr>
            <w:r>
              <w:rPr>
                <w:b/>
                <w:bCs/>
                <w:color w:val="1F3864"/>
              </w:rPr>
              <w:t>Definition</w:t>
            </w:r>
          </w:p>
          <w:p w14:paraId="7F305A30" w14:textId="77777777" w:rsidR="00E84FE2" w:rsidRDefault="00000000">
            <w:pPr>
              <w:spacing w:line="264" w:lineRule="auto"/>
            </w:pPr>
            <w:r>
              <w:rPr>
                <w:b/>
                <w:bCs/>
                <w:color w:val="333333"/>
                <w:sz w:val="21"/>
                <w:szCs w:val="21"/>
              </w:rPr>
              <w:t>Relationship management</w:t>
            </w:r>
            <w:r>
              <w:rPr>
                <w:color w:val="333333"/>
                <w:sz w:val="21"/>
                <w:szCs w:val="21"/>
              </w:rPr>
              <w:t xml:space="preserve"> is the ongoing practice of building and maintaining durable, two-way working relationships — based on trust and mutual benefit — with every person and group the value stream depends on.</w:t>
            </w:r>
          </w:p>
        </w:tc>
      </w:tr>
    </w:tbl>
    <w:p w14:paraId="2865E2AA" w14:textId="77777777" w:rsidR="00E84FE2" w:rsidRDefault="00000000">
      <w:pPr>
        <w:spacing w:after="100" w:line="276" w:lineRule="auto"/>
      </w:pPr>
      <w:r>
        <w:t>Two clarifications help beginners avoid a common misunderstanding:</w:t>
      </w:r>
    </w:p>
    <w:p w14:paraId="67B56CB2" w14:textId="77777777" w:rsidR="00E84FE2" w:rsidRDefault="00000000">
      <w:pPr>
        <w:pStyle w:val="ListParagraph"/>
        <w:numPr>
          <w:ilvl w:val="0"/>
          <w:numId w:val="2"/>
        </w:numPr>
        <w:spacing w:after="70" w:line="268" w:lineRule="auto"/>
      </w:pPr>
      <w:r>
        <w:rPr>
          <w:b/>
          <w:bCs/>
        </w:rPr>
        <w:t xml:space="preserve">It is not simply “being nice” or networking. </w:t>
      </w:r>
      <w:r>
        <w:t>It is purposeful and structured — you know who matters, what they need, and how you keep the relationship healthy over time.</w:t>
      </w:r>
    </w:p>
    <w:p w14:paraId="3617D9CF" w14:textId="77777777" w:rsidR="00E84FE2" w:rsidRDefault="00000000">
      <w:pPr>
        <w:pStyle w:val="ListParagraph"/>
        <w:numPr>
          <w:ilvl w:val="0"/>
          <w:numId w:val="2"/>
        </w:numPr>
        <w:spacing w:after="70" w:line="268" w:lineRule="auto"/>
      </w:pPr>
      <w:r>
        <w:rPr>
          <w:b/>
          <w:bCs/>
        </w:rPr>
        <w:t xml:space="preserve">It is not manipulation. </w:t>
      </w:r>
      <w:r>
        <w:t>It only works if it is genuine and two-way. People quickly sense when they are being “managed” for one-sided gain, and trust collapses.</w:t>
      </w:r>
    </w:p>
    <w:p w14:paraId="4C0B9850" w14:textId="77777777" w:rsidR="00E84FE2" w:rsidRDefault="00000000">
      <w:pPr>
        <w:pStyle w:val="Heading2"/>
      </w:pPr>
      <w:bookmarkStart w:id="2" w:name="_Toc235612757"/>
      <w:r>
        <w:t>Two levels of relationship</w:t>
      </w:r>
      <w:bookmarkEnd w:id="2"/>
    </w:p>
    <w:tbl>
      <w:tblPr>
        <w:tblW w:w="9360" w:type="dxa"/>
        <w:tblBorders>
          <w:top w:val="single" w:sz="4" w:space="0" w:color="BBBBBB"/>
          <w:left w:val="single" w:sz="4" w:space="0" w:color="BBBBBB"/>
          <w:bottom w:val="single" w:sz="4" w:space="0" w:color="BBBBBB"/>
          <w:right w:val="single" w:sz="4" w:space="0" w:color="BBBBBB"/>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600"/>
        <w:gridCol w:w="6760"/>
      </w:tblGrid>
      <w:tr w:rsidR="00E84FE2" w14:paraId="0F01A4DA" w14:textId="77777777">
        <w:tblPrEx>
          <w:tblCellMar>
            <w:top w:w="0" w:type="dxa"/>
            <w:bottom w:w="0" w:type="dxa"/>
          </w:tblCellMar>
        </w:tblPrEx>
        <w:trPr>
          <w:tblHeader/>
        </w:trPr>
        <w:tc>
          <w:tcPr>
            <w:tcW w:w="2600" w:type="dxa"/>
            <w:shd w:val="clear" w:color="auto" w:fill="1F3864"/>
            <w:tcMar>
              <w:top w:w="70" w:type="dxa"/>
              <w:left w:w="110" w:type="dxa"/>
              <w:bottom w:w="70" w:type="dxa"/>
              <w:right w:w="110" w:type="dxa"/>
            </w:tcMar>
          </w:tcPr>
          <w:p w14:paraId="73DF2527" w14:textId="77777777" w:rsidR="00E84FE2" w:rsidRDefault="00000000">
            <w:pPr>
              <w:spacing w:line="250" w:lineRule="auto"/>
            </w:pPr>
            <w:r>
              <w:rPr>
                <w:b/>
                <w:bCs/>
                <w:color w:val="FFFFFF"/>
                <w:sz w:val="21"/>
                <w:szCs w:val="21"/>
              </w:rPr>
              <w:t>Level</w:t>
            </w:r>
          </w:p>
        </w:tc>
        <w:tc>
          <w:tcPr>
            <w:tcW w:w="6760" w:type="dxa"/>
            <w:shd w:val="clear" w:color="auto" w:fill="1F3864"/>
            <w:tcMar>
              <w:top w:w="70" w:type="dxa"/>
              <w:left w:w="110" w:type="dxa"/>
              <w:bottom w:w="70" w:type="dxa"/>
              <w:right w:w="110" w:type="dxa"/>
            </w:tcMar>
          </w:tcPr>
          <w:p w14:paraId="52A13F2E" w14:textId="77777777" w:rsidR="00E84FE2" w:rsidRDefault="00000000">
            <w:pPr>
              <w:spacing w:line="250" w:lineRule="auto"/>
            </w:pPr>
            <w:r>
              <w:rPr>
                <w:b/>
                <w:bCs/>
                <w:color w:val="FFFFFF"/>
                <w:sz w:val="21"/>
                <w:szCs w:val="21"/>
              </w:rPr>
              <w:t>Who it involves</w:t>
            </w:r>
          </w:p>
        </w:tc>
      </w:tr>
      <w:tr w:rsidR="00E84FE2" w14:paraId="3BC05447" w14:textId="77777777">
        <w:tblPrEx>
          <w:tblCellMar>
            <w:top w:w="0" w:type="dxa"/>
            <w:bottom w:w="0" w:type="dxa"/>
          </w:tblCellMar>
        </w:tblPrEx>
        <w:tc>
          <w:tcPr>
            <w:tcW w:w="2600" w:type="dxa"/>
            <w:shd w:val="clear" w:color="auto" w:fill="D9E2F3"/>
            <w:tcMar>
              <w:top w:w="70" w:type="dxa"/>
              <w:left w:w="110" w:type="dxa"/>
              <w:bottom w:w="70" w:type="dxa"/>
              <w:right w:w="110" w:type="dxa"/>
            </w:tcMar>
          </w:tcPr>
          <w:p w14:paraId="4D1DEA34" w14:textId="77777777" w:rsidR="00E84FE2" w:rsidRDefault="00000000">
            <w:pPr>
              <w:spacing w:line="250" w:lineRule="auto"/>
            </w:pPr>
            <w:r>
              <w:rPr>
                <w:b/>
                <w:bCs/>
                <w:sz w:val="20"/>
                <w:szCs w:val="20"/>
              </w:rPr>
              <w:t>Internal</w:t>
            </w:r>
          </w:p>
        </w:tc>
        <w:tc>
          <w:tcPr>
            <w:tcW w:w="6760" w:type="dxa"/>
            <w:tcMar>
              <w:top w:w="70" w:type="dxa"/>
              <w:left w:w="110" w:type="dxa"/>
              <w:bottom w:w="70" w:type="dxa"/>
              <w:right w:w="110" w:type="dxa"/>
            </w:tcMar>
          </w:tcPr>
          <w:p w14:paraId="0FAEB0C6" w14:textId="77777777" w:rsidR="00E84FE2" w:rsidRDefault="00000000">
            <w:pPr>
              <w:spacing w:line="250" w:lineRule="auto"/>
            </w:pPr>
            <w:r>
              <w:rPr>
                <w:sz w:val="20"/>
                <w:szCs w:val="20"/>
              </w:rPr>
              <w:t>Team members, department heads, support functions (IT, finance, HR), and senior sponsors inside your own organisation.</w:t>
            </w:r>
          </w:p>
        </w:tc>
      </w:tr>
      <w:tr w:rsidR="00E84FE2" w14:paraId="681065CF" w14:textId="77777777">
        <w:tblPrEx>
          <w:tblCellMar>
            <w:top w:w="0" w:type="dxa"/>
            <w:bottom w:w="0" w:type="dxa"/>
          </w:tblCellMar>
        </w:tblPrEx>
        <w:tc>
          <w:tcPr>
            <w:tcW w:w="2600" w:type="dxa"/>
            <w:shd w:val="clear" w:color="auto" w:fill="D9E2F3"/>
            <w:tcMar>
              <w:top w:w="70" w:type="dxa"/>
              <w:left w:w="110" w:type="dxa"/>
              <w:bottom w:w="70" w:type="dxa"/>
              <w:right w:w="110" w:type="dxa"/>
            </w:tcMar>
          </w:tcPr>
          <w:p w14:paraId="5C6DF20C" w14:textId="77777777" w:rsidR="00E84FE2" w:rsidRDefault="00000000">
            <w:pPr>
              <w:spacing w:line="250" w:lineRule="auto"/>
            </w:pPr>
            <w:r>
              <w:rPr>
                <w:b/>
                <w:bCs/>
                <w:sz w:val="20"/>
                <w:szCs w:val="20"/>
              </w:rPr>
              <w:t>External</w:t>
            </w:r>
          </w:p>
        </w:tc>
        <w:tc>
          <w:tcPr>
            <w:tcW w:w="6760" w:type="dxa"/>
            <w:tcMar>
              <w:top w:w="70" w:type="dxa"/>
              <w:left w:w="110" w:type="dxa"/>
              <w:bottom w:w="70" w:type="dxa"/>
              <w:right w:w="110" w:type="dxa"/>
            </w:tcMar>
          </w:tcPr>
          <w:p w14:paraId="00EB906D" w14:textId="77777777" w:rsidR="00E84FE2" w:rsidRDefault="00000000">
            <w:pPr>
              <w:spacing w:line="250" w:lineRule="auto"/>
            </w:pPr>
            <w:r>
              <w:rPr>
                <w:sz w:val="20"/>
                <w:szCs w:val="20"/>
              </w:rPr>
              <w:t>Customers, suppliers, delivery partners, and sometimes regulators — anyone outside the organisation whose actions affect the flow of value.</w:t>
            </w:r>
          </w:p>
        </w:tc>
      </w:tr>
    </w:tbl>
    <w:p w14:paraId="581EA997" w14:textId="77777777" w:rsidR="00E84FE2" w:rsidRDefault="00000000">
      <w:r>
        <w:br w:type="page"/>
      </w:r>
    </w:p>
    <w:p w14:paraId="2B5CE0AC" w14:textId="77777777" w:rsidR="00E84FE2" w:rsidRDefault="00000000">
      <w:pPr>
        <w:pStyle w:val="Heading1"/>
      </w:pPr>
      <w:bookmarkStart w:id="3" w:name="_Toc235612758"/>
      <w:r>
        <w:lastRenderedPageBreak/>
        <w:t>3. The key principles</w:t>
      </w:r>
      <w:bookmarkEnd w:id="3"/>
    </w:p>
    <w:p w14:paraId="2523DFA8" w14:textId="77777777" w:rsidR="00E84FE2" w:rsidRDefault="00000000">
      <w:pPr>
        <w:spacing w:after="140" w:line="276" w:lineRule="auto"/>
      </w:pPr>
      <w:r>
        <w:t>Ten principles underpin strong relationship management. Each is simple; the skill is in practising them consistently, especially under pressure.</w:t>
      </w:r>
    </w:p>
    <w:p w14:paraId="6C47FA35" w14:textId="77777777" w:rsidR="00E84FE2" w:rsidRDefault="00000000">
      <w:pPr>
        <w:spacing w:after="20" w:line="276" w:lineRule="auto"/>
      </w:pPr>
      <w:r>
        <w:rPr>
          <w:b/>
          <w:bCs/>
          <w:color w:val="2E5496"/>
        </w:rPr>
        <w:t>1. Trust is the foundation</w:t>
      </w:r>
    </w:p>
    <w:p w14:paraId="2056BCB7" w14:textId="77777777" w:rsidR="00E84FE2" w:rsidRDefault="00000000">
      <w:pPr>
        <w:spacing w:after="40" w:line="276" w:lineRule="auto"/>
      </w:pPr>
      <w:r>
        <w:t>Every other principle rests on trust. People help those they trust and resist those they don't — regardless of the business case.</w:t>
      </w:r>
    </w:p>
    <w:p w14:paraId="3A927CE4" w14:textId="77777777" w:rsidR="00E84FE2" w:rsidRDefault="00000000">
      <w:pPr>
        <w:spacing w:after="130" w:line="276" w:lineRule="auto"/>
      </w:pPr>
      <w:r>
        <w:rPr>
          <w:i/>
          <w:iCs/>
          <w:color w:val="555555"/>
          <w:sz w:val="21"/>
          <w:szCs w:val="21"/>
        </w:rPr>
        <w:t>Example: a production supervisor agrees to trial a new schedule because they trust you won't blame them if it stumbles.</w:t>
      </w:r>
    </w:p>
    <w:p w14:paraId="20CE0A73" w14:textId="77777777" w:rsidR="00E84FE2" w:rsidRDefault="00000000">
      <w:pPr>
        <w:spacing w:after="20" w:line="276" w:lineRule="auto"/>
      </w:pPr>
      <w:r>
        <w:rPr>
          <w:b/>
          <w:bCs/>
          <w:color w:val="2E5496"/>
        </w:rPr>
        <w:t>2. Influence without authority</w:t>
      </w:r>
    </w:p>
    <w:p w14:paraId="1B73AC88" w14:textId="77777777" w:rsidR="00E84FE2" w:rsidRDefault="00000000">
      <w:pPr>
        <w:spacing w:after="40" w:line="276" w:lineRule="auto"/>
      </w:pPr>
      <w:r>
        <w:t>Since you rarely command, you must persuade — through evidence, shared goals, and credibility rather than position.</w:t>
      </w:r>
    </w:p>
    <w:p w14:paraId="3FAE8D36" w14:textId="77777777" w:rsidR="00E84FE2" w:rsidRDefault="00000000">
      <w:pPr>
        <w:spacing w:after="130" w:line="276" w:lineRule="auto"/>
      </w:pPr>
      <w:r>
        <w:rPr>
          <w:i/>
          <w:iCs/>
          <w:color w:val="555555"/>
          <w:sz w:val="21"/>
          <w:szCs w:val="21"/>
        </w:rPr>
        <w:t>Example: you win procurement over by showing how a change helps their targets too, not by escalating to their boss.</w:t>
      </w:r>
    </w:p>
    <w:p w14:paraId="266C261D" w14:textId="77777777" w:rsidR="00E84FE2" w:rsidRDefault="00000000">
      <w:pPr>
        <w:spacing w:after="20" w:line="276" w:lineRule="auto"/>
      </w:pPr>
      <w:r>
        <w:rPr>
          <w:b/>
          <w:bCs/>
          <w:color w:val="2E5496"/>
        </w:rPr>
        <w:t>3. Seek mutual value (win–win)</w:t>
      </w:r>
    </w:p>
    <w:p w14:paraId="1DFEE3AE" w14:textId="77777777" w:rsidR="00E84FE2" w:rsidRDefault="00000000">
      <w:pPr>
        <w:spacing w:after="40" w:line="276" w:lineRule="auto"/>
      </w:pPr>
      <w:r>
        <w:t>Frame every request so the other person also gains. Relationships that only take, break.</w:t>
      </w:r>
    </w:p>
    <w:p w14:paraId="56714614" w14:textId="77777777" w:rsidR="00E84FE2" w:rsidRDefault="00000000">
      <w:pPr>
        <w:spacing w:after="130" w:line="276" w:lineRule="auto"/>
      </w:pPr>
      <w:r>
        <w:rPr>
          <w:i/>
          <w:iCs/>
          <w:color w:val="555555"/>
          <w:sz w:val="21"/>
          <w:szCs w:val="21"/>
        </w:rPr>
        <w:t>Example: you help quality reduce their rework backlog while getting the faster checks you need.</w:t>
      </w:r>
    </w:p>
    <w:p w14:paraId="529A4C20" w14:textId="77777777" w:rsidR="00E84FE2" w:rsidRDefault="00000000">
      <w:pPr>
        <w:spacing w:after="20" w:line="276" w:lineRule="auto"/>
      </w:pPr>
      <w:r>
        <w:rPr>
          <w:b/>
          <w:bCs/>
          <w:color w:val="2E5496"/>
        </w:rPr>
        <w:t>4. Be transparent and honest</w:t>
      </w:r>
    </w:p>
    <w:p w14:paraId="04673FD2" w14:textId="77777777" w:rsidR="00E84FE2" w:rsidRDefault="00000000">
      <w:pPr>
        <w:spacing w:after="40" w:line="276" w:lineRule="auto"/>
      </w:pPr>
      <w:r>
        <w:t>Share the real picture, including bad news. Hidden agendas destroy trust faster than any mistake.</w:t>
      </w:r>
    </w:p>
    <w:p w14:paraId="080806C0" w14:textId="77777777" w:rsidR="00E84FE2" w:rsidRDefault="00000000">
      <w:pPr>
        <w:spacing w:after="130" w:line="276" w:lineRule="auto"/>
      </w:pPr>
      <w:r>
        <w:rPr>
          <w:i/>
          <w:iCs/>
          <w:color w:val="555555"/>
          <w:sz w:val="21"/>
          <w:szCs w:val="21"/>
        </w:rPr>
        <w:t>Example: you admit an improvement missed its target rather than quietly burying the metric.</w:t>
      </w:r>
    </w:p>
    <w:p w14:paraId="36F7B4B7" w14:textId="77777777" w:rsidR="00E84FE2" w:rsidRDefault="00000000">
      <w:pPr>
        <w:spacing w:after="20" w:line="276" w:lineRule="auto"/>
      </w:pPr>
      <w:r>
        <w:rPr>
          <w:b/>
          <w:bCs/>
          <w:color w:val="2E5496"/>
        </w:rPr>
        <w:t>5. Listen actively and with empathy</w:t>
      </w:r>
    </w:p>
    <w:p w14:paraId="57DC9676" w14:textId="77777777" w:rsidR="00E84FE2" w:rsidRDefault="00000000">
      <w:pPr>
        <w:spacing w:after="40" w:line="276" w:lineRule="auto"/>
      </w:pPr>
      <w:r>
        <w:t>Understand each function's pressures before proposing change. People support what they helped shape.</w:t>
      </w:r>
    </w:p>
    <w:p w14:paraId="44851FBB" w14:textId="77777777" w:rsidR="00E84FE2" w:rsidRDefault="00000000">
      <w:pPr>
        <w:spacing w:after="130" w:line="276" w:lineRule="auto"/>
      </w:pPr>
      <w:r>
        <w:rPr>
          <w:i/>
          <w:iCs/>
          <w:color w:val="555555"/>
          <w:sz w:val="21"/>
          <w:szCs w:val="21"/>
        </w:rPr>
        <w:t>Example: you learn dispatch's real constraint is a single loading bay — so your plan works around it.</w:t>
      </w:r>
    </w:p>
    <w:p w14:paraId="421F343B" w14:textId="77777777" w:rsidR="00E84FE2" w:rsidRDefault="00000000">
      <w:pPr>
        <w:spacing w:after="20" w:line="276" w:lineRule="auto"/>
      </w:pPr>
      <w:r>
        <w:rPr>
          <w:b/>
          <w:bCs/>
          <w:color w:val="2E5496"/>
        </w:rPr>
        <w:t>6. Be reliable — keep small promises</w:t>
      </w:r>
    </w:p>
    <w:p w14:paraId="42239978" w14:textId="77777777" w:rsidR="00E84FE2" w:rsidRDefault="00000000">
      <w:pPr>
        <w:spacing w:after="40" w:line="276" w:lineRule="auto"/>
      </w:pPr>
      <w:r>
        <w:t>Reliability compounds. Doing exactly what you said, every time, is worth more than one grand gesture.</w:t>
      </w:r>
    </w:p>
    <w:p w14:paraId="6AC368DB" w14:textId="77777777" w:rsidR="00E84FE2" w:rsidRDefault="00000000">
      <w:pPr>
        <w:spacing w:after="130" w:line="276" w:lineRule="auto"/>
      </w:pPr>
      <w:r>
        <w:rPr>
          <w:i/>
          <w:iCs/>
          <w:color w:val="555555"/>
          <w:sz w:val="21"/>
          <w:szCs w:val="21"/>
        </w:rPr>
        <w:t>Example: you always send the notes you promised by end of day, so people stop double-checking you.</w:t>
      </w:r>
    </w:p>
    <w:p w14:paraId="659A98B6" w14:textId="77777777" w:rsidR="00E84FE2" w:rsidRDefault="00000000">
      <w:pPr>
        <w:spacing w:after="20" w:line="276" w:lineRule="auto"/>
      </w:pPr>
      <w:r>
        <w:rPr>
          <w:b/>
          <w:bCs/>
          <w:color w:val="2E5496"/>
        </w:rPr>
        <w:t>7. Communicate on a predictable cadence</w:t>
      </w:r>
    </w:p>
    <w:p w14:paraId="76E16152" w14:textId="77777777" w:rsidR="00E84FE2" w:rsidRDefault="00000000">
      <w:pPr>
        <w:spacing w:after="40" w:line="276" w:lineRule="auto"/>
      </w:pPr>
      <w:r>
        <w:t>Regular, expected contact prevents surprises and keeps relationships warm before you need something.</w:t>
      </w:r>
    </w:p>
    <w:p w14:paraId="3F5F7383" w14:textId="77777777" w:rsidR="00E84FE2" w:rsidRDefault="00000000">
      <w:pPr>
        <w:spacing w:after="130" w:line="276" w:lineRule="auto"/>
      </w:pPr>
      <w:r>
        <w:rPr>
          <w:i/>
          <w:iCs/>
          <w:color w:val="555555"/>
          <w:sz w:val="21"/>
          <w:szCs w:val="21"/>
        </w:rPr>
        <w:t>Example: a standing 15-minute weekly check-in with each key area, not a scramble when a problem hits.</w:t>
      </w:r>
    </w:p>
    <w:p w14:paraId="4BDF31A5" w14:textId="77777777" w:rsidR="00E84FE2" w:rsidRDefault="00000000">
      <w:pPr>
        <w:spacing w:after="20" w:line="276" w:lineRule="auto"/>
      </w:pPr>
      <w:r>
        <w:rPr>
          <w:b/>
          <w:bCs/>
          <w:color w:val="2E5496"/>
        </w:rPr>
        <w:t>8. Respect each perspective</w:t>
      </w:r>
    </w:p>
    <w:p w14:paraId="4C80649A" w14:textId="77777777" w:rsidR="00E84FE2" w:rsidRDefault="00000000">
      <w:pPr>
        <w:spacing w:after="40" w:line="276" w:lineRule="auto"/>
      </w:pPr>
      <w:r>
        <w:t>Every function sees the stream differently and each view is partly right. Respect turns rivals into collaborators.</w:t>
      </w:r>
    </w:p>
    <w:p w14:paraId="74A043BB" w14:textId="77777777" w:rsidR="00E84FE2" w:rsidRDefault="00000000">
      <w:pPr>
        <w:spacing w:after="130" w:line="276" w:lineRule="auto"/>
      </w:pPr>
      <w:r>
        <w:rPr>
          <w:i/>
          <w:iCs/>
          <w:color w:val="555555"/>
          <w:sz w:val="21"/>
          <w:szCs w:val="21"/>
        </w:rPr>
        <w:t>Example: you treat finance's caution as useful risk-checking, not obstruction.</w:t>
      </w:r>
    </w:p>
    <w:p w14:paraId="43534A54" w14:textId="77777777" w:rsidR="00E84FE2" w:rsidRDefault="00000000">
      <w:pPr>
        <w:spacing w:after="20" w:line="276" w:lineRule="auto"/>
      </w:pPr>
      <w:r>
        <w:rPr>
          <w:b/>
          <w:bCs/>
          <w:color w:val="2E5496"/>
        </w:rPr>
        <w:t>9. Manage conflict constructively</w:t>
      </w:r>
    </w:p>
    <w:p w14:paraId="6D5759D8" w14:textId="77777777" w:rsidR="00E84FE2" w:rsidRDefault="00000000">
      <w:pPr>
        <w:spacing w:after="40" w:line="276" w:lineRule="auto"/>
      </w:pPr>
      <w:r>
        <w:t>Disagreement is normal in a shared stream. Address it early, focus on the problem not the person, and find common ground.</w:t>
      </w:r>
    </w:p>
    <w:p w14:paraId="4B1EB1CC" w14:textId="77777777" w:rsidR="00E84FE2" w:rsidRDefault="00000000">
      <w:pPr>
        <w:spacing w:after="130" w:line="276" w:lineRule="auto"/>
      </w:pPr>
      <w:r>
        <w:rPr>
          <w:i/>
          <w:iCs/>
          <w:color w:val="555555"/>
          <w:sz w:val="21"/>
          <w:szCs w:val="21"/>
        </w:rPr>
        <w:t>Example: two departments blame each other for delays; you use the map to make it about the process, not the people.</w:t>
      </w:r>
    </w:p>
    <w:p w14:paraId="7397C289" w14:textId="77777777" w:rsidR="00E84FE2" w:rsidRDefault="00000000">
      <w:pPr>
        <w:spacing w:after="20" w:line="276" w:lineRule="auto"/>
      </w:pPr>
      <w:r>
        <w:rPr>
          <w:b/>
          <w:bCs/>
          <w:color w:val="2E5496"/>
        </w:rPr>
        <w:t>10. Stay customer-centric</w:t>
      </w:r>
    </w:p>
    <w:p w14:paraId="200F0366" w14:textId="77777777" w:rsidR="00E84FE2" w:rsidRDefault="00000000">
      <w:pPr>
        <w:spacing w:after="40" w:line="276" w:lineRule="auto"/>
      </w:pPr>
      <w:r>
        <w:t>Keeping the end customer's value in view gives everyone a shared, neutral goal that outranks turf.</w:t>
      </w:r>
    </w:p>
    <w:p w14:paraId="7B021CD1" w14:textId="77777777" w:rsidR="00E84FE2" w:rsidRDefault="00000000">
      <w:pPr>
        <w:spacing w:after="130" w:line="276" w:lineRule="auto"/>
      </w:pPr>
      <w:r>
        <w:rPr>
          <w:i/>
          <w:iCs/>
          <w:color w:val="555555"/>
          <w:sz w:val="21"/>
          <w:szCs w:val="21"/>
        </w:rPr>
        <w:t>Example: “the customer waits three weeks” unites the room faster than any internal argument.</w:t>
      </w:r>
    </w:p>
    <w:p w14:paraId="1B188A0B" w14:textId="37A48B80" w:rsidR="00E84FE2" w:rsidRDefault="00E84FE2"/>
    <w:tbl>
      <w:tblPr>
        <w:tblW w:w="9360" w:type="dxa"/>
        <w:tblBorders>
          <w:top w:val="single" w:sz="2" w:space="0" w:color="F1F6EC"/>
          <w:left w:val="single" w:sz="24" w:space="0" w:color="2E7D46"/>
          <w:bottom w:val="single" w:sz="2" w:space="0" w:color="F1F6EC"/>
          <w:right w:val="single" w:sz="2" w:space="0" w:color="F1F6EC"/>
        </w:tblBorders>
        <w:tblCellMar>
          <w:left w:w="10" w:type="dxa"/>
          <w:right w:w="10" w:type="dxa"/>
        </w:tblCellMar>
        <w:tblLook w:val="0000" w:firstRow="0" w:lastRow="0" w:firstColumn="0" w:lastColumn="0" w:noHBand="0" w:noVBand="0"/>
      </w:tblPr>
      <w:tblGrid>
        <w:gridCol w:w="9360"/>
      </w:tblGrid>
      <w:tr w:rsidR="00E84FE2" w14:paraId="7BCD71BA" w14:textId="77777777">
        <w:tblPrEx>
          <w:tblCellMar>
            <w:top w:w="0" w:type="dxa"/>
            <w:bottom w:w="0" w:type="dxa"/>
          </w:tblCellMar>
        </w:tblPrEx>
        <w:tc>
          <w:tcPr>
            <w:tcW w:w="9360" w:type="dxa"/>
            <w:shd w:val="clear" w:color="auto" w:fill="F1F6EC"/>
            <w:tcMar>
              <w:top w:w="120" w:type="dxa"/>
              <w:left w:w="180" w:type="dxa"/>
              <w:bottom w:w="120" w:type="dxa"/>
              <w:right w:w="180" w:type="dxa"/>
            </w:tcMar>
          </w:tcPr>
          <w:p w14:paraId="17749540" w14:textId="77777777" w:rsidR="00E84FE2" w:rsidRDefault="00000000">
            <w:pPr>
              <w:spacing w:after="60"/>
            </w:pPr>
            <w:r>
              <w:rPr>
                <w:b/>
                <w:bCs/>
                <w:color w:val="1F3864"/>
              </w:rPr>
              <w:t>A useful rule of thumb: the trust equation</w:t>
            </w:r>
          </w:p>
          <w:p w14:paraId="6E8E7623" w14:textId="77777777" w:rsidR="00E84FE2" w:rsidRDefault="00000000">
            <w:pPr>
              <w:spacing w:after="60" w:line="264" w:lineRule="auto"/>
            </w:pPr>
            <w:r>
              <w:rPr>
                <w:color w:val="333333"/>
                <w:sz w:val="21"/>
                <w:szCs w:val="21"/>
              </w:rPr>
              <w:t>Advisers often describe trust with a simple formula:</w:t>
            </w:r>
          </w:p>
          <w:p w14:paraId="6A571E43" w14:textId="77777777" w:rsidR="00E84FE2" w:rsidRDefault="00000000">
            <w:pPr>
              <w:spacing w:after="60" w:line="264" w:lineRule="auto"/>
            </w:pPr>
            <w:r>
              <w:rPr>
                <w:b/>
                <w:bCs/>
                <w:color w:val="1F3864"/>
                <w:sz w:val="21"/>
                <w:szCs w:val="21"/>
              </w:rPr>
              <w:t>Trust  =  (Credibility + Reliability + Closeness)  ÷  Self-interest</w:t>
            </w:r>
          </w:p>
          <w:p w14:paraId="2B30F2CB" w14:textId="77777777" w:rsidR="00E84FE2" w:rsidRDefault="00000000">
            <w:pPr>
              <w:spacing w:after="60" w:line="264" w:lineRule="auto"/>
            </w:pPr>
            <w:r>
              <w:rPr>
                <w:b/>
                <w:bCs/>
                <w:color w:val="333333"/>
                <w:sz w:val="21"/>
                <w:szCs w:val="21"/>
              </w:rPr>
              <w:t>Credibility</w:t>
            </w:r>
            <w:r>
              <w:rPr>
                <w:color w:val="333333"/>
                <w:sz w:val="21"/>
                <w:szCs w:val="21"/>
              </w:rPr>
              <w:t xml:space="preserve"> — you know your subject. </w:t>
            </w:r>
            <w:r>
              <w:rPr>
                <w:b/>
                <w:bCs/>
                <w:color w:val="333333"/>
                <w:sz w:val="21"/>
                <w:szCs w:val="21"/>
              </w:rPr>
              <w:t>Reliability</w:t>
            </w:r>
            <w:r>
              <w:rPr>
                <w:color w:val="333333"/>
                <w:sz w:val="21"/>
                <w:szCs w:val="21"/>
              </w:rPr>
              <w:t xml:space="preserve"> — you do what you say. </w:t>
            </w:r>
            <w:r>
              <w:rPr>
                <w:b/>
                <w:bCs/>
                <w:color w:val="333333"/>
                <w:sz w:val="21"/>
                <w:szCs w:val="21"/>
              </w:rPr>
              <w:t>Closeness</w:t>
            </w:r>
            <w:r>
              <w:rPr>
                <w:color w:val="333333"/>
                <w:sz w:val="21"/>
                <w:szCs w:val="21"/>
              </w:rPr>
              <w:t xml:space="preserve"> — people feel safe being honest with you.</w:t>
            </w:r>
          </w:p>
          <w:p w14:paraId="0FDF124B" w14:textId="77777777" w:rsidR="00E84FE2" w:rsidRDefault="00000000">
            <w:pPr>
              <w:spacing w:line="264" w:lineRule="auto"/>
            </w:pPr>
            <w:r>
              <w:rPr>
                <w:b/>
                <w:bCs/>
                <w:color w:val="333333"/>
                <w:sz w:val="21"/>
                <w:szCs w:val="21"/>
              </w:rPr>
              <w:t>Self-interest</w:t>
            </w:r>
            <w:r>
              <w:rPr>
                <w:color w:val="333333"/>
                <w:sz w:val="21"/>
                <w:szCs w:val="21"/>
              </w:rPr>
              <w:t xml:space="preserve"> sits on the bottom: the more you are seen to act only for yourself, the lower the trust. Lower your self-interest and the other three count for far more.</w:t>
            </w:r>
          </w:p>
        </w:tc>
      </w:tr>
    </w:tbl>
    <w:p w14:paraId="1390EC67" w14:textId="77777777" w:rsidR="00E84FE2" w:rsidRDefault="00000000">
      <w:pPr>
        <w:pStyle w:val="Heading1"/>
      </w:pPr>
      <w:bookmarkStart w:id="4" w:name="_Toc235612759"/>
      <w:r>
        <w:t>4. Who, what, how, when, where and why</w:t>
      </w:r>
      <w:bookmarkEnd w:id="4"/>
    </w:p>
    <w:p w14:paraId="39C9DA66" w14:textId="77777777" w:rsidR="00E84FE2" w:rsidRDefault="00000000">
      <w:pPr>
        <w:pStyle w:val="Heading2"/>
      </w:pPr>
      <w:bookmarkStart w:id="5" w:name="_Toc235612760"/>
      <w:r>
        <w:t>WHO do you build relationships with?</w:t>
      </w:r>
      <w:bookmarkEnd w:id="5"/>
    </w:p>
    <w:p w14:paraId="0FCC50A0" w14:textId="77777777" w:rsidR="00E84FE2" w:rsidRDefault="00000000">
      <w:pPr>
        <w:spacing w:after="100" w:line="276" w:lineRule="auto"/>
      </w:pPr>
      <w:r>
        <w:t>Start by identifying your stakeholders — everyone who affects, or is affected by, the value stream. A simple way to prioritise them is a power / interest grid:</w:t>
      </w:r>
    </w:p>
    <w:tbl>
      <w:tblPr>
        <w:tblW w:w="9360" w:type="dxa"/>
        <w:tblBorders>
          <w:top w:val="single" w:sz="4" w:space="0" w:color="BBBBBB"/>
          <w:left w:val="single" w:sz="4" w:space="0" w:color="BBBBBB"/>
          <w:bottom w:val="single" w:sz="4" w:space="0" w:color="BBBBBB"/>
          <w:right w:val="single" w:sz="4" w:space="0" w:color="BBBBBB"/>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340"/>
        <w:gridCol w:w="3510"/>
        <w:gridCol w:w="3510"/>
      </w:tblGrid>
      <w:tr w:rsidR="00E84FE2" w14:paraId="499DCC9F" w14:textId="77777777">
        <w:tblPrEx>
          <w:tblCellMar>
            <w:top w:w="0" w:type="dxa"/>
            <w:bottom w:w="0" w:type="dxa"/>
          </w:tblCellMar>
        </w:tblPrEx>
        <w:trPr>
          <w:tblHeader/>
        </w:trPr>
        <w:tc>
          <w:tcPr>
            <w:tcW w:w="2340" w:type="dxa"/>
            <w:shd w:val="clear" w:color="auto" w:fill="1F3864"/>
            <w:tcMar>
              <w:top w:w="70" w:type="dxa"/>
              <w:left w:w="110" w:type="dxa"/>
              <w:bottom w:w="70" w:type="dxa"/>
              <w:right w:w="110" w:type="dxa"/>
            </w:tcMar>
          </w:tcPr>
          <w:p w14:paraId="2C3DCE3D" w14:textId="77777777" w:rsidR="00E84FE2" w:rsidRDefault="00E84FE2">
            <w:pPr>
              <w:spacing w:line="250" w:lineRule="auto"/>
            </w:pPr>
          </w:p>
        </w:tc>
        <w:tc>
          <w:tcPr>
            <w:tcW w:w="3510" w:type="dxa"/>
            <w:shd w:val="clear" w:color="auto" w:fill="1F3864"/>
            <w:tcMar>
              <w:top w:w="70" w:type="dxa"/>
              <w:left w:w="110" w:type="dxa"/>
              <w:bottom w:w="70" w:type="dxa"/>
              <w:right w:w="110" w:type="dxa"/>
            </w:tcMar>
          </w:tcPr>
          <w:p w14:paraId="5A1DB1E8" w14:textId="77777777" w:rsidR="00E84FE2" w:rsidRDefault="00000000">
            <w:pPr>
              <w:spacing w:line="250" w:lineRule="auto"/>
              <w:jc w:val="center"/>
            </w:pPr>
            <w:r>
              <w:rPr>
                <w:b/>
                <w:bCs/>
                <w:color w:val="FFFFFF"/>
                <w:sz w:val="21"/>
                <w:szCs w:val="21"/>
              </w:rPr>
              <w:t>Low interest</w:t>
            </w:r>
          </w:p>
        </w:tc>
        <w:tc>
          <w:tcPr>
            <w:tcW w:w="3510" w:type="dxa"/>
            <w:shd w:val="clear" w:color="auto" w:fill="1F3864"/>
            <w:tcMar>
              <w:top w:w="70" w:type="dxa"/>
              <w:left w:w="110" w:type="dxa"/>
              <w:bottom w:w="70" w:type="dxa"/>
              <w:right w:w="110" w:type="dxa"/>
            </w:tcMar>
          </w:tcPr>
          <w:p w14:paraId="403EF084" w14:textId="77777777" w:rsidR="00E84FE2" w:rsidRDefault="00000000">
            <w:pPr>
              <w:spacing w:line="250" w:lineRule="auto"/>
              <w:jc w:val="center"/>
            </w:pPr>
            <w:r>
              <w:rPr>
                <w:b/>
                <w:bCs/>
                <w:color w:val="FFFFFF"/>
                <w:sz w:val="21"/>
                <w:szCs w:val="21"/>
              </w:rPr>
              <w:t>High interest</w:t>
            </w:r>
          </w:p>
        </w:tc>
      </w:tr>
      <w:tr w:rsidR="00E84FE2" w14:paraId="171B360C" w14:textId="77777777">
        <w:tblPrEx>
          <w:tblCellMar>
            <w:top w:w="0" w:type="dxa"/>
            <w:bottom w:w="0" w:type="dxa"/>
          </w:tblCellMar>
        </w:tblPrEx>
        <w:tc>
          <w:tcPr>
            <w:tcW w:w="2340" w:type="dxa"/>
            <w:shd w:val="clear" w:color="auto" w:fill="1F3864"/>
            <w:tcMar>
              <w:top w:w="70" w:type="dxa"/>
              <w:left w:w="110" w:type="dxa"/>
              <w:bottom w:w="70" w:type="dxa"/>
              <w:right w:w="110" w:type="dxa"/>
            </w:tcMar>
          </w:tcPr>
          <w:p w14:paraId="45BFD357" w14:textId="77777777" w:rsidR="00E84FE2" w:rsidRDefault="00000000">
            <w:pPr>
              <w:spacing w:line="250" w:lineRule="auto"/>
              <w:jc w:val="center"/>
            </w:pPr>
            <w:r>
              <w:rPr>
                <w:b/>
                <w:bCs/>
                <w:sz w:val="20"/>
                <w:szCs w:val="20"/>
              </w:rPr>
              <w:t>High power</w:t>
            </w:r>
          </w:p>
        </w:tc>
        <w:tc>
          <w:tcPr>
            <w:tcW w:w="3510" w:type="dxa"/>
            <w:shd w:val="clear" w:color="auto" w:fill="D9E2F3"/>
            <w:tcMar>
              <w:top w:w="70" w:type="dxa"/>
              <w:left w:w="110" w:type="dxa"/>
              <w:bottom w:w="70" w:type="dxa"/>
              <w:right w:w="110" w:type="dxa"/>
            </w:tcMar>
          </w:tcPr>
          <w:p w14:paraId="6B1B99CD" w14:textId="77777777" w:rsidR="00E84FE2" w:rsidRDefault="00000000">
            <w:pPr>
              <w:spacing w:line="250" w:lineRule="auto"/>
            </w:pPr>
            <w:r>
              <w:rPr>
                <w:b/>
                <w:bCs/>
                <w:sz w:val="20"/>
                <w:szCs w:val="20"/>
              </w:rPr>
              <w:t>Keep satisfied</w:t>
            </w:r>
            <w:r>
              <w:rPr>
                <w:sz w:val="20"/>
                <w:szCs w:val="20"/>
              </w:rPr>
              <w:t xml:space="preserve"> — e.g. a senior sponsor. Brief them enough to keep support.</w:t>
            </w:r>
          </w:p>
        </w:tc>
        <w:tc>
          <w:tcPr>
            <w:tcW w:w="3510" w:type="dxa"/>
            <w:shd w:val="clear" w:color="auto" w:fill="F1F6EC"/>
            <w:tcMar>
              <w:top w:w="70" w:type="dxa"/>
              <w:left w:w="110" w:type="dxa"/>
              <w:bottom w:w="70" w:type="dxa"/>
              <w:right w:w="110" w:type="dxa"/>
            </w:tcMar>
          </w:tcPr>
          <w:p w14:paraId="1CE84E94" w14:textId="77777777" w:rsidR="00E84FE2" w:rsidRDefault="00000000">
            <w:pPr>
              <w:spacing w:line="250" w:lineRule="auto"/>
            </w:pPr>
            <w:r>
              <w:rPr>
                <w:b/>
                <w:bCs/>
                <w:sz w:val="20"/>
                <w:szCs w:val="20"/>
              </w:rPr>
              <w:t>Manage closely</w:t>
            </w:r>
            <w:r>
              <w:rPr>
                <w:sz w:val="20"/>
                <w:szCs w:val="20"/>
              </w:rPr>
              <w:t xml:space="preserve"> — e.g. department heads on the stream. Your top priority.</w:t>
            </w:r>
          </w:p>
        </w:tc>
      </w:tr>
      <w:tr w:rsidR="00E84FE2" w14:paraId="5D78E469" w14:textId="77777777">
        <w:tblPrEx>
          <w:tblCellMar>
            <w:top w:w="0" w:type="dxa"/>
            <w:bottom w:w="0" w:type="dxa"/>
          </w:tblCellMar>
        </w:tblPrEx>
        <w:tc>
          <w:tcPr>
            <w:tcW w:w="2340" w:type="dxa"/>
            <w:shd w:val="clear" w:color="auto" w:fill="1F3864"/>
            <w:tcMar>
              <w:top w:w="70" w:type="dxa"/>
              <w:left w:w="110" w:type="dxa"/>
              <w:bottom w:w="70" w:type="dxa"/>
              <w:right w:w="110" w:type="dxa"/>
            </w:tcMar>
          </w:tcPr>
          <w:p w14:paraId="09F51945" w14:textId="77777777" w:rsidR="00E84FE2" w:rsidRDefault="00000000">
            <w:pPr>
              <w:spacing w:line="250" w:lineRule="auto"/>
              <w:jc w:val="center"/>
            </w:pPr>
            <w:r>
              <w:rPr>
                <w:b/>
                <w:bCs/>
                <w:sz w:val="20"/>
                <w:szCs w:val="20"/>
              </w:rPr>
              <w:t>Low power</w:t>
            </w:r>
          </w:p>
        </w:tc>
        <w:tc>
          <w:tcPr>
            <w:tcW w:w="3510" w:type="dxa"/>
            <w:tcMar>
              <w:top w:w="70" w:type="dxa"/>
              <w:left w:w="110" w:type="dxa"/>
              <w:bottom w:w="70" w:type="dxa"/>
              <w:right w:w="110" w:type="dxa"/>
            </w:tcMar>
          </w:tcPr>
          <w:p w14:paraId="1AD7144E" w14:textId="77777777" w:rsidR="00E84FE2" w:rsidRDefault="00000000">
            <w:pPr>
              <w:spacing w:line="250" w:lineRule="auto"/>
            </w:pPr>
            <w:r>
              <w:rPr>
                <w:b/>
                <w:bCs/>
                <w:sz w:val="20"/>
                <w:szCs w:val="20"/>
              </w:rPr>
              <w:t>Monitor</w:t>
            </w:r>
            <w:r>
              <w:rPr>
                <w:sz w:val="20"/>
                <w:szCs w:val="20"/>
              </w:rPr>
              <w:t xml:space="preserve"> — e.g. adjacent teams. Light, occasional contact.</w:t>
            </w:r>
          </w:p>
        </w:tc>
        <w:tc>
          <w:tcPr>
            <w:tcW w:w="3510" w:type="dxa"/>
            <w:shd w:val="clear" w:color="auto" w:fill="D9E2F3"/>
            <w:tcMar>
              <w:top w:w="70" w:type="dxa"/>
              <w:left w:w="110" w:type="dxa"/>
              <w:bottom w:w="70" w:type="dxa"/>
              <w:right w:w="110" w:type="dxa"/>
            </w:tcMar>
          </w:tcPr>
          <w:p w14:paraId="4832BC91" w14:textId="77777777" w:rsidR="00E84FE2" w:rsidRDefault="00000000">
            <w:pPr>
              <w:spacing w:line="250" w:lineRule="auto"/>
            </w:pPr>
            <w:r>
              <w:rPr>
                <w:b/>
                <w:bCs/>
                <w:sz w:val="20"/>
                <w:szCs w:val="20"/>
              </w:rPr>
              <w:t>Keep informed</w:t>
            </w:r>
            <w:r>
              <w:rPr>
                <w:sz w:val="20"/>
                <w:szCs w:val="20"/>
              </w:rPr>
              <w:t xml:space="preserve"> — e.g. frontline operators. Their input is gold; keep them in the loop.</w:t>
            </w:r>
          </w:p>
        </w:tc>
      </w:tr>
    </w:tbl>
    <w:p w14:paraId="01DF72E7" w14:textId="77777777" w:rsidR="00E84FE2" w:rsidRDefault="00000000">
      <w:pPr>
        <w:spacing w:after="60" w:line="276" w:lineRule="auto"/>
      </w:pPr>
      <w:r>
        <w:t>Typical stakeholders to map:</w:t>
      </w:r>
    </w:p>
    <w:p w14:paraId="7447CAD3" w14:textId="77777777" w:rsidR="00E84FE2" w:rsidRDefault="00000000">
      <w:pPr>
        <w:pStyle w:val="ListParagraph"/>
        <w:numPr>
          <w:ilvl w:val="0"/>
          <w:numId w:val="2"/>
        </w:numPr>
        <w:spacing w:after="70" w:line="268" w:lineRule="auto"/>
      </w:pPr>
      <w:r>
        <w:rPr>
          <w:b/>
          <w:bCs/>
        </w:rPr>
        <w:t xml:space="preserve">Team members and frontline operators </w:t>
      </w:r>
      <w:r>
        <w:t>— they know where the real problems are.</w:t>
      </w:r>
    </w:p>
    <w:p w14:paraId="013D08BB" w14:textId="77777777" w:rsidR="00E84FE2" w:rsidRDefault="00000000">
      <w:pPr>
        <w:pStyle w:val="ListParagraph"/>
        <w:numPr>
          <w:ilvl w:val="0"/>
          <w:numId w:val="2"/>
        </w:numPr>
        <w:spacing w:after="70" w:line="268" w:lineRule="auto"/>
      </w:pPr>
      <w:r>
        <w:rPr>
          <w:b/>
          <w:bCs/>
        </w:rPr>
        <w:t xml:space="preserve">Department / function heads </w:t>
      </w:r>
      <w:r>
        <w:t>— they control the resources and the people.</w:t>
      </w:r>
    </w:p>
    <w:p w14:paraId="1D848CBB" w14:textId="77777777" w:rsidR="00E84FE2" w:rsidRDefault="00000000">
      <w:pPr>
        <w:pStyle w:val="ListParagraph"/>
        <w:numPr>
          <w:ilvl w:val="0"/>
          <w:numId w:val="2"/>
        </w:numPr>
        <w:spacing w:after="70" w:line="268" w:lineRule="auto"/>
      </w:pPr>
      <w:r>
        <w:rPr>
          <w:b/>
          <w:bCs/>
        </w:rPr>
        <w:t xml:space="preserve">Senior sponsors and leadership </w:t>
      </w:r>
      <w:r>
        <w:t>— they remove big blockers and provide air cover.</w:t>
      </w:r>
    </w:p>
    <w:p w14:paraId="0117AE84" w14:textId="77777777" w:rsidR="00E84FE2" w:rsidRDefault="00000000">
      <w:pPr>
        <w:pStyle w:val="ListParagraph"/>
        <w:numPr>
          <w:ilvl w:val="0"/>
          <w:numId w:val="2"/>
        </w:numPr>
        <w:spacing w:after="70" w:line="268" w:lineRule="auto"/>
      </w:pPr>
      <w:r>
        <w:rPr>
          <w:b/>
          <w:bCs/>
        </w:rPr>
        <w:t xml:space="preserve">Support functions (IT, finance, HR) </w:t>
      </w:r>
      <w:r>
        <w:t>— they enable or slow the changes you need.</w:t>
      </w:r>
    </w:p>
    <w:p w14:paraId="048EAEFF" w14:textId="77777777" w:rsidR="00E84FE2" w:rsidRDefault="00000000">
      <w:pPr>
        <w:pStyle w:val="ListParagraph"/>
        <w:numPr>
          <w:ilvl w:val="0"/>
          <w:numId w:val="2"/>
        </w:numPr>
        <w:spacing w:after="70" w:line="268" w:lineRule="auto"/>
      </w:pPr>
      <w:r>
        <w:rPr>
          <w:b/>
          <w:bCs/>
        </w:rPr>
        <w:t xml:space="preserve">Customers and suppliers </w:t>
      </w:r>
      <w:r>
        <w:t>— the two ends of the stream.</w:t>
      </w:r>
    </w:p>
    <w:p w14:paraId="70DC2ED6" w14:textId="77777777" w:rsidR="00E84FE2" w:rsidRDefault="00000000">
      <w:pPr>
        <w:pStyle w:val="Heading2"/>
      </w:pPr>
      <w:bookmarkStart w:id="6" w:name="_Toc235612761"/>
      <w:r>
        <w:t>WHAT do you manage?</w:t>
      </w:r>
      <w:bookmarkEnd w:id="6"/>
    </w:p>
    <w:p w14:paraId="49FDAC4A" w14:textId="77777777" w:rsidR="00E84FE2" w:rsidRDefault="00000000">
      <w:pPr>
        <w:pStyle w:val="ListParagraph"/>
        <w:numPr>
          <w:ilvl w:val="0"/>
          <w:numId w:val="2"/>
        </w:numPr>
        <w:spacing w:after="70" w:line="268" w:lineRule="auto"/>
      </w:pPr>
      <w:r>
        <w:rPr>
          <w:b/>
          <w:bCs/>
        </w:rPr>
        <w:t xml:space="preserve">Expectations </w:t>
      </w:r>
      <w:r>
        <w:t>— what each stakeholder believes will happen and by when.</w:t>
      </w:r>
    </w:p>
    <w:p w14:paraId="23C78274" w14:textId="77777777" w:rsidR="00E84FE2" w:rsidRDefault="00000000">
      <w:pPr>
        <w:pStyle w:val="ListParagraph"/>
        <w:numPr>
          <w:ilvl w:val="0"/>
          <w:numId w:val="2"/>
        </w:numPr>
        <w:spacing w:after="70" w:line="268" w:lineRule="auto"/>
      </w:pPr>
      <w:r>
        <w:rPr>
          <w:b/>
          <w:bCs/>
        </w:rPr>
        <w:t xml:space="preserve">Trust and goodwill </w:t>
      </w:r>
      <w:r>
        <w:t>— the “credit balance” you draw on when you need help.</w:t>
      </w:r>
    </w:p>
    <w:p w14:paraId="37E46160" w14:textId="77777777" w:rsidR="00E84FE2" w:rsidRDefault="00000000">
      <w:pPr>
        <w:pStyle w:val="ListParagraph"/>
        <w:numPr>
          <w:ilvl w:val="0"/>
          <w:numId w:val="2"/>
        </w:numPr>
        <w:spacing w:after="70" w:line="268" w:lineRule="auto"/>
      </w:pPr>
      <w:r>
        <w:rPr>
          <w:b/>
          <w:bCs/>
        </w:rPr>
        <w:t xml:space="preserve">Communication </w:t>
      </w:r>
      <w:r>
        <w:t>— who hears what, how often, and through which channel.</w:t>
      </w:r>
    </w:p>
    <w:p w14:paraId="4F78736B" w14:textId="77777777" w:rsidR="00E84FE2" w:rsidRDefault="00000000">
      <w:pPr>
        <w:pStyle w:val="ListParagraph"/>
        <w:numPr>
          <w:ilvl w:val="0"/>
          <w:numId w:val="2"/>
        </w:numPr>
        <w:spacing w:after="70" w:line="268" w:lineRule="auto"/>
      </w:pPr>
      <w:r>
        <w:rPr>
          <w:b/>
          <w:bCs/>
        </w:rPr>
        <w:t xml:space="preserve">Dependencies and hand-offs </w:t>
      </w:r>
      <w:r>
        <w:t>— the points where one group relies on another.</w:t>
      </w:r>
    </w:p>
    <w:p w14:paraId="5AF0BE04" w14:textId="77777777" w:rsidR="00E84FE2" w:rsidRDefault="00000000">
      <w:pPr>
        <w:pStyle w:val="ListParagraph"/>
        <w:numPr>
          <w:ilvl w:val="0"/>
          <w:numId w:val="2"/>
        </w:numPr>
        <w:spacing w:after="70" w:line="268" w:lineRule="auto"/>
      </w:pPr>
      <w:r>
        <w:rPr>
          <w:b/>
          <w:bCs/>
        </w:rPr>
        <w:t xml:space="preserve">Conflict and competing priorities </w:t>
      </w:r>
      <w:r>
        <w:t>— surfacing and resolving them before they block flow.</w:t>
      </w:r>
    </w:p>
    <w:p w14:paraId="60B679BD" w14:textId="77777777" w:rsidR="00E84FE2" w:rsidRDefault="00000000">
      <w:pPr>
        <w:pStyle w:val="Heading2"/>
      </w:pPr>
      <w:bookmarkStart w:id="7" w:name="_Toc235612762"/>
      <w:r>
        <w:t>HOW do you do it?</w:t>
      </w:r>
      <w:bookmarkEnd w:id="7"/>
    </w:p>
    <w:p w14:paraId="53694324" w14:textId="77777777" w:rsidR="00E84FE2" w:rsidRDefault="00000000">
      <w:pPr>
        <w:pStyle w:val="ListParagraph"/>
        <w:numPr>
          <w:ilvl w:val="0"/>
          <w:numId w:val="3"/>
        </w:numPr>
        <w:spacing w:after="90" w:line="268" w:lineRule="auto"/>
      </w:pPr>
      <w:r>
        <w:rPr>
          <w:b/>
          <w:bCs/>
        </w:rPr>
        <w:t xml:space="preserve">Map your stakeholders. </w:t>
      </w:r>
      <w:r>
        <w:t>Use the grid above to decide who needs how much attention.</w:t>
      </w:r>
    </w:p>
    <w:p w14:paraId="0841A31C" w14:textId="77777777" w:rsidR="00E84FE2" w:rsidRDefault="00000000">
      <w:pPr>
        <w:pStyle w:val="ListParagraph"/>
        <w:numPr>
          <w:ilvl w:val="0"/>
          <w:numId w:val="3"/>
        </w:numPr>
        <w:spacing w:after="90" w:line="268" w:lineRule="auto"/>
      </w:pPr>
      <w:r>
        <w:rPr>
          <w:b/>
          <w:bCs/>
        </w:rPr>
        <w:t xml:space="preserve">Understand each person's goals and pressures. </w:t>
      </w:r>
      <w:r>
        <w:t>Ask, then listen. Know what success looks like for them.</w:t>
      </w:r>
    </w:p>
    <w:p w14:paraId="591B1348" w14:textId="77777777" w:rsidR="00E84FE2" w:rsidRDefault="00000000">
      <w:pPr>
        <w:pStyle w:val="ListParagraph"/>
        <w:numPr>
          <w:ilvl w:val="0"/>
          <w:numId w:val="3"/>
        </w:numPr>
        <w:spacing w:after="90" w:line="268" w:lineRule="auto"/>
      </w:pPr>
      <w:r>
        <w:rPr>
          <w:b/>
          <w:bCs/>
        </w:rPr>
        <w:t xml:space="preserve">Invest before you withdraw. </w:t>
      </w:r>
      <w:r>
        <w:t>Build the relationship in good times so it is there when you need a favour.</w:t>
      </w:r>
    </w:p>
    <w:p w14:paraId="7EBF8E24" w14:textId="77777777" w:rsidR="00E84FE2" w:rsidRDefault="00000000">
      <w:pPr>
        <w:pStyle w:val="ListParagraph"/>
        <w:numPr>
          <w:ilvl w:val="0"/>
          <w:numId w:val="3"/>
        </w:numPr>
        <w:spacing w:after="90" w:line="268" w:lineRule="auto"/>
      </w:pPr>
      <w:r>
        <w:rPr>
          <w:b/>
          <w:bCs/>
        </w:rPr>
        <w:t xml:space="preserve">Set a communication rhythm. </w:t>
      </w:r>
      <w:r>
        <w:t>Regular check-ins, clear updates, and no surprises.</w:t>
      </w:r>
    </w:p>
    <w:p w14:paraId="15BCE4E1" w14:textId="77777777" w:rsidR="00E84FE2" w:rsidRDefault="00000000">
      <w:pPr>
        <w:pStyle w:val="ListParagraph"/>
        <w:numPr>
          <w:ilvl w:val="0"/>
          <w:numId w:val="3"/>
        </w:numPr>
        <w:spacing w:after="90" w:line="268" w:lineRule="auto"/>
      </w:pPr>
      <w:r>
        <w:rPr>
          <w:b/>
          <w:bCs/>
        </w:rPr>
        <w:t xml:space="preserve">Make requests as win–win. </w:t>
      </w:r>
      <w:r>
        <w:t>Always show how helping you helps them or the customer.</w:t>
      </w:r>
    </w:p>
    <w:p w14:paraId="0AA55180" w14:textId="77777777" w:rsidR="00E84FE2" w:rsidRDefault="00000000">
      <w:pPr>
        <w:pStyle w:val="ListParagraph"/>
        <w:numPr>
          <w:ilvl w:val="0"/>
          <w:numId w:val="3"/>
        </w:numPr>
        <w:spacing w:after="90" w:line="268" w:lineRule="auto"/>
      </w:pPr>
      <w:r>
        <w:rPr>
          <w:b/>
          <w:bCs/>
        </w:rPr>
        <w:lastRenderedPageBreak/>
        <w:t xml:space="preserve">Follow through visibly. </w:t>
      </w:r>
      <w:r>
        <w:t>Close the loop, give credit publicly, and keep every small promise.</w:t>
      </w:r>
    </w:p>
    <w:p w14:paraId="0334531A" w14:textId="77777777" w:rsidR="00E84FE2" w:rsidRDefault="00000000">
      <w:pPr>
        <w:pStyle w:val="ListParagraph"/>
        <w:numPr>
          <w:ilvl w:val="0"/>
          <w:numId w:val="3"/>
        </w:numPr>
        <w:spacing w:after="90" w:line="268" w:lineRule="auto"/>
      </w:pPr>
      <w:r>
        <w:rPr>
          <w:b/>
          <w:bCs/>
        </w:rPr>
        <w:t xml:space="preserve">Handle conflict early and openly. </w:t>
      </w:r>
      <w:r>
        <w:t>Focus on the shared goal and the process, never on blame.</w:t>
      </w:r>
    </w:p>
    <w:p w14:paraId="0964B762" w14:textId="77777777" w:rsidR="00E84FE2" w:rsidRDefault="00000000">
      <w:pPr>
        <w:pStyle w:val="Heading2"/>
      </w:pPr>
      <w:bookmarkStart w:id="8" w:name="_Toc235612763"/>
      <w:r>
        <w:t>WHEN do you do it?</w:t>
      </w:r>
      <w:bookmarkEnd w:id="8"/>
    </w:p>
    <w:p w14:paraId="77DBE126" w14:textId="77777777" w:rsidR="00E84FE2" w:rsidRDefault="00000000">
      <w:pPr>
        <w:pStyle w:val="ListParagraph"/>
        <w:numPr>
          <w:ilvl w:val="0"/>
          <w:numId w:val="2"/>
        </w:numPr>
        <w:spacing w:after="70" w:line="268" w:lineRule="auto"/>
      </w:pPr>
      <w:r>
        <w:rPr>
          <w:b/>
          <w:bCs/>
        </w:rPr>
        <w:t xml:space="preserve">From day one </w:t>
      </w:r>
      <w:r>
        <w:t>— build relationships before you need anything from them.</w:t>
      </w:r>
    </w:p>
    <w:p w14:paraId="495968A1" w14:textId="77777777" w:rsidR="00E84FE2" w:rsidRDefault="00000000">
      <w:pPr>
        <w:pStyle w:val="ListParagraph"/>
        <w:numPr>
          <w:ilvl w:val="0"/>
          <w:numId w:val="2"/>
        </w:numPr>
        <w:spacing w:after="70" w:line="268" w:lineRule="auto"/>
      </w:pPr>
      <w:r>
        <w:rPr>
          <w:b/>
          <w:bCs/>
        </w:rPr>
        <w:t xml:space="preserve">Continuously </w:t>
      </w:r>
      <w:r>
        <w:t>— relationships fade without regular, low-key contact.</w:t>
      </w:r>
    </w:p>
    <w:p w14:paraId="060FC088" w14:textId="77777777" w:rsidR="00E84FE2" w:rsidRDefault="00000000">
      <w:pPr>
        <w:pStyle w:val="ListParagraph"/>
        <w:numPr>
          <w:ilvl w:val="0"/>
          <w:numId w:val="2"/>
        </w:numPr>
        <w:spacing w:after="70" w:line="268" w:lineRule="auto"/>
      </w:pPr>
      <w:r>
        <w:rPr>
          <w:b/>
          <w:bCs/>
        </w:rPr>
        <w:t xml:space="preserve">Before change, not during </w:t>
      </w:r>
      <w:r>
        <w:t>— bring people along early so they own the change, rather than surprising them.</w:t>
      </w:r>
    </w:p>
    <w:p w14:paraId="2559E54B" w14:textId="77777777" w:rsidR="00E84FE2" w:rsidRDefault="00000000">
      <w:pPr>
        <w:pStyle w:val="ListParagraph"/>
        <w:numPr>
          <w:ilvl w:val="0"/>
          <w:numId w:val="2"/>
        </w:numPr>
        <w:spacing w:after="70" w:line="268" w:lineRule="auto"/>
      </w:pPr>
      <w:r>
        <w:rPr>
          <w:b/>
          <w:bCs/>
        </w:rPr>
        <w:t xml:space="preserve">At moments of tension </w:t>
      </w:r>
      <w:r>
        <w:t>— conflict handled well actually deepens trust.</w:t>
      </w:r>
    </w:p>
    <w:p w14:paraId="04BE3774" w14:textId="77777777" w:rsidR="00E84FE2" w:rsidRDefault="00000000">
      <w:pPr>
        <w:pStyle w:val="ListParagraph"/>
        <w:numPr>
          <w:ilvl w:val="0"/>
          <w:numId w:val="2"/>
        </w:numPr>
        <w:spacing w:after="70" w:line="268" w:lineRule="auto"/>
      </w:pPr>
      <w:r>
        <w:rPr>
          <w:b/>
          <w:bCs/>
        </w:rPr>
        <w:t xml:space="preserve">At milestones </w:t>
      </w:r>
      <w:r>
        <w:t>— celebrate wins and share credit to reinforce goodwill.</w:t>
      </w:r>
    </w:p>
    <w:p w14:paraId="10622261" w14:textId="77777777" w:rsidR="00E84FE2" w:rsidRDefault="00000000">
      <w:pPr>
        <w:pStyle w:val="Heading2"/>
      </w:pPr>
      <w:bookmarkStart w:id="9" w:name="_Toc235612764"/>
      <w:r>
        <w:t>WHERE do you do it?</w:t>
      </w:r>
      <w:bookmarkEnd w:id="9"/>
    </w:p>
    <w:p w14:paraId="1FCD906C" w14:textId="77777777" w:rsidR="00E84FE2" w:rsidRDefault="00000000">
      <w:pPr>
        <w:pStyle w:val="ListParagraph"/>
        <w:numPr>
          <w:ilvl w:val="0"/>
          <w:numId w:val="2"/>
        </w:numPr>
        <w:spacing w:after="70" w:line="268" w:lineRule="auto"/>
      </w:pPr>
      <w:r>
        <w:rPr>
          <w:b/>
          <w:bCs/>
        </w:rPr>
        <w:t xml:space="preserve">At the work itself (“go and see”) </w:t>
      </w:r>
      <w:r>
        <w:t>— visiting where the work happens builds credibility and surfaces real issues far better than a meeting room.</w:t>
      </w:r>
    </w:p>
    <w:p w14:paraId="2C2A4704" w14:textId="77777777" w:rsidR="00E84FE2" w:rsidRDefault="00000000">
      <w:pPr>
        <w:pStyle w:val="ListParagraph"/>
        <w:numPr>
          <w:ilvl w:val="0"/>
          <w:numId w:val="2"/>
        </w:numPr>
        <w:spacing w:after="70" w:line="268" w:lineRule="auto"/>
      </w:pPr>
      <w:r>
        <w:rPr>
          <w:b/>
          <w:bCs/>
        </w:rPr>
        <w:t xml:space="preserve">In formal settings </w:t>
      </w:r>
      <w:r>
        <w:t>— structured reviews, planning meetings, and steering groups.</w:t>
      </w:r>
    </w:p>
    <w:p w14:paraId="6CF33EBD" w14:textId="77777777" w:rsidR="00E84FE2" w:rsidRDefault="00000000">
      <w:pPr>
        <w:pStyle w:val="ListParagraph"/>
        <w:numPr>
          <w:ilvl w:val="0"/>
          <w:numId w:val="2"/>
        </w:numPr>
        <w:spacing w:after="70" w:line="268" w:lineRule="auto"/>
      </w:pPr>
      <w:r>
        <w:rPr>
          <w:b/>
          <w:bCs/>
        </w:rPr>
        <w:t xml:space="preserve">In informal settings </w:t>
      </w:r>
      <w:r>
        <w:t>— corridor chats and coffees, where trust is often built fastest.</w:t>
      </w:r>
    </w:p>
    <w:p w14:paraId="4ABAD424" w14:textId="77777777" w:rsidR="00E84FE2" w:rsidRDefault="00000000">
      <w:pPr>
        <w:pStyle w:val="ListParagraph"/>
        <w:numPr>
          <w:ilvl w:val="0"/>
          <w:numId w:val="2"/>
        </w:numPr>
        <w:spacing w:after="70" w:line="268" w:lineRule="auto"/>
      </w:pPr>
      <w:r>
        <w:rPr>
          <w:b/>
          <w:bCs/>
        </w:rPr>
        <w:t xml:space="preserve">Across sites and remotely </w:t>
      </w:r>
      <w:r>
        <w:t>— by phone, video and messaging when the stream spans locations; be deliberate so distant stakeholders aren't forgotten.</w:t>
      </w:r>
    </w:p>
    <w:p w14:paraId="7C69501A" w14:textId="77777777" w:rsidR="00E84FE2" w:rsidRDefault="00000000">
      <w:pPr>
        <w:pStyle w:val="Heading2"/>
      </w:pPr>
      <w:bookmarkStart w:id="10" w:name="_Toc235612765"/>
      <w:r>
        <w:t>WHY does it matter?</w:t>
      </w:r>
      <w:bookmarkEnd w:id="10"/>
    </w:p>
    <w:p w14:paraId="6F32EC47" w14:textId="77777777" w:rsidR="00E84FE2" w:rsidRDefault="00000000">
      <w:pPr>
        <w:pStyle w:val="ListParagraph"/>
        <w:numPr>
          <w:ilvl w:val="0"/>
          <w:numId w:val="2"/>
        </w:numPr>
        <w:spacing w:after="70" w:line="268" w:lineRule="auto"/>
      </w:pPr>
      <w:r>
        <w:rPr>
          <w:b/>
          <w:bCs/>
        </w:rPr>
        <w:t xml:space="preserve">Blockers get removed faster </w:t>
      </w:r>
      <w:r>
        <w:t>— people help those they trust.</w:t>
      </w:r>
    </w:p>
    <w:p w14:paraId="0F9F634C" w14:textId="77777777" w:rsidR="00E84FE2" w:rsidRDefault="00000000">
      <w:pPr>
        <w:pStyle w:val="ListParagraph"/>
        <w:numPr>
          <w:ilvl w:val="0"/>
          <w:numId w:val="2"/>
        </w:numPr>
        <w:spacing w:after="70" w:line="268" w:lineRule="auto"/>
      </w:pPr>
      <w:r>
        <w:rPr>
          <w:b/>
          <w:bCs/>
        </w:rPr>
        <w:t xml:space="preserve">Change actually sticks </w:t>
      </w:r>
      <w:r>
        <w:t>— committed people sustain improvements; compliant people revert.</w:t>
      </w:r>
    </w:p>
    <w:p w14:paraId="70B105B1" w14:textId="77777777" w:rsidR="00E84FE2" w:rsidRDefault="00000000">
      <w:pPr>
        <w:pStyle w:val="ListParagraph"/>
        <w:numPr>
          <w:ilvl w:val="0"/>
          <w:numId w:val="2"/>
        </w:numPr>
        <w:spacing w:after="70" w:line="268" w:lineRule="auto"/>
      </w:pPr>
      <w:r>
        <w:rPr>
          <w:b/>
          <w:bCs/>
        </w:rPr>
        <w:t xml:space="preserve">You get early warning </w:t>
      </w:r>
      <w:r>
        <w:t>— trusted stakeholders tell you about problems before they blow up.</w:t>
      </w:r>
    </w:p>
    <w:p w14:paraId="52344226" w14:textId="77777777" w:rsidR="00E84FE2" w:rsidRDefault="00000000">
      <w:pPr>
        <w:pStyle w:val="ListParagraph"/>
        <w:numPr>
          <w:ilvl w:val="0"/>
          <w:numId w:val="2"/>
        </w:numPr>
        <w:spacing w:after="70" w:line="268" w:lineRule="auto"/>
      </w:pPr>
      <w:r>
        <w:rPr>
          <w:b/>
          <w:bCs/>
        </w:rPr>
        <w:t xml:space="preserve">Silos break down </w:t>
      </w:r>
      <w:r>
        <w:t>— relationships are the bridges across the departments a stream must cross.</w:t>
      </w:r>
    </w:p>
    <w:p w14:paraId="39DA868B" w14:textId="77777777" w:rsidR="00E84FE2" w:rsidRDefault="00000000">
      <w:pPr>
        <w:pStyle w:val="ListParagraph"/>
        <w:numPr>
          <w:ilvl w:val="0"/>
          <w:numId w:val="2"/>
        </w:numPr>
        <w:spacing w:after="70" w:line="268" w:lineRule="auto"/>
      </w:pPr>
      <w:r>
        <w:rPr>
          <w:b/>
          <w:bCs/>
        </w:rPr>
        <w:t xml:space="preserve">Improvement compounds </w:t>
      </w:r>
      <w:r>
        <w:t>— goodwill built today funds the next change, and the next.</w:t>
      </w:r>
    </w:p>
    <w:p w14:paraId="0F685B11" w14:textId="3E8891D4" w:rsidR="00E84FE2" w:rsidRDefault="00E84FE2"/>
    <w:p w14:paraId="317A431D" w14:textId="77777777" w:rsidR="00E84FE2" w:rsidRDefault="00000000">
      <w:pPr>
        <w:pStyle w:val="Heading1"/>
      </w:pPr>
      <w:bookmarkStart w:id="11" w:name="_Toc235612766"/>
      <w:r>
        <w:t>5. Common pitfalls to avoid</w:t>
      </w:r>
      <w:bookmarkEnd w:id="11"/>
    </w:p>
    <w:p w14:paraId="3A6D8242" w14:textId="77777777" w:rsidR="00E84FE2" w:rsidRDefault="00000000">
      <w:pPr>
        <w:pStyle w:val="ListParagraph"/>
        <w:numPr>
          <w:ilvl w:val="0"/>
          <w:numId w:val="2"/>
        </w:numPr>
        <w:spacing w:after="70" w:line="268" w:lineRule="auto"/>
      </w:pPr>
      <w:r>
        <w:rPr>
          <w:b/>
          <w:bCs/>
        </w:rPr>
        <w:t xml:space="preserve">Only showing up when you need something. </w:t>
      </w:r>
      <w:r>
        <w:t>Transactional contact feels like using people. Invest between asks.</w:t>
      </w:r>
    </w:p>
    <w:p w14:paraId="162AE5D6" w14:textId="77777777" w:rsidR="00E84FE2" w:rsidRDefault="00000000">
      <w:pPr>
        <w:pStyle w:val="ListParagraph"/>
        <w:numPr>
          <w:ilvl w:val="0"/>
          <w:numId w:val="2"/>
        </w:numPr>
        <w:spacing w:after="70" w:line="268" w:lineRule="auto"/>
      </w:pPr>
      <w:r>
        <w:rPr>
          <w:b/>
          <w:bCs/>
        </w:rPr>
        <w:t xml:space="preserve">Treating it as manipulation. </w:t>
      </w:r>
      <w:r>
        <w:t>One-sided “influence” is quickly spotted and permanently costly.</w:t>
      </w:r>
    </w:p>
    <w:p w14:paraId="06BFFDA4" w14:textId="77777777" w:rsidR="00E84FE2" w:rsidRDefault="00000000">
      <w:pPr>
        <w:pStyle w:val="ListParagraph"/>
        <w:numPr>
          <w:ilvl w:val="0"/>
          <w:numId w:val="2"/>
        </w:numPr>
        <w:spacing w:after="70" w:line="268" w:lineRule="auto"/>
      </w:pPr>
      <w:r>
        <w:rPr>
          <w:b/>
          <w:bCs/>
        </w:rPr>
        <w:t xml:space="preserve">Breaking small promises. </w:t>
      </w:r>
      <w:r>
        <w:t>Missing minor commitments quietly erodes reliability — the thing trust is built on.</w:t>
      </w:r>
    </w:p>
    <w:p w14:paraId="0E722737" w14:textId="77777777" w:rsidR="00E84FE2" w:rsidRDefault="00000000">
      <w:pPr>
        <w:pStyle w:val="ListParagraph"/>
        <w:numPr>
          <w:ilvl w:val="0"/>
          <w:numId w:val="2"/>
        </w:numPr>
        <w:spacing w:after="70" w:line="268" w:lineRule="auto"/>
      </w:pPr>
      <w:r>
        <w:rPr>
          <w:b/>
          <w:bCs/>
        </w:rPr>
        <w:t xml:space="preserve">Avoiding difficult conversations. </w:t>
      </w:r>
      <w:r>
        <w:t>Unspoken tension festers; addressed early, it builds trust.</w:t>
      </w:r>
    </w:p>
    <w:p w14:paraId="4C572A05" w14:textId="77777777" w:rsidR="00E84FE2" w:rsidRDefault="00000000">
      <w:pPr>
        <w:pStyle w:val="ListParagraph"/>
        <w:numPr>
          <w:ilvl w:val="0"/>
          <w:numId w:val="2"/>
        </w:numPr>
        <w:spacing w:after="70" w:line="268" w:lineRule="auto"/>
      </w:pPr>
      <w:r>
        <w:rPr>
          <w:b/>
          <w:bCs/>
        </w:rPr>
        <w:t xml:space="preserve">Over-focusing on the powerful and ignoring the frontline. </w:t>
      </w:r>
      <w:r>
        <w:t>Operators hold the knowledge that makes or breaks a change.</w:t>
      </w:r>
    </w:p>
    <w:p w14:paraId="46F3CEC5" w14:textId="77777777" w:rsidR="00E84FE2" w:rsidRDefault="00000000">
      <w:pPr>
        <w:pStyle w:val="ListParagraph"/>
        <w:numPr>
          <w:ilvl w:val="0"/>
          <w:numId w:val="2"/>
        </w:numPr>
        <w:spacing w:after="70" w:line="268" w:lineRule="auto"/>
      </w:pPr>
      <w:r>
        <w:rPr>
          <w:b/>
          <w:bCs/>
        </w:rPr>
        <w:t xml:space="preserve">Winning the argument, losing the relationship. </w:t>
      </w:r>
      <w:r>
        <w:t>Being right is worth little if the other person leaves resentful.</w:t>
      </w:r>
    </w:p>
    <w:p w14:paraId="125023F3" w14:textId="77777777" w:rsidR="00E84FE2" w:rsidRDefault="00000000">
      <w:pPr>
        <w:pStyle w:val="Heading1"/>
      </w:pPr>
      <w:bookmarkStart w:id="12" w:name="_Toc235612767"/>
      <w:r>
        <w:t>6. A short scenario</w:t>
      </w:r>
      <w:bookmarkEnd w:id="12"/>
    </w:p>
    <w:p w14:paraId="277FE696" w14:textId="77777777" w:rsidR="00E84FE2" w:rsidRDefault="00000000">
      <w:pPr>
        <w:spacing w:after="120" w:line="276" w:lineRule="auto"/>
      </w:pPr>
      <w:r>
        <w:rPr>
          <w:i/>
          <w:iCs/>
        </w:rPr>
        <w:t>The contrast below shows why relationship management, not authority, is the Value Stream Manager's real tool.</w:t>
      </w:r>
    </w:p>
    <w:tbl>
      <w:tblPr>
        <w:tblW w:w="9360" w:type="dxa"/>
        <w:tblBorders>
          <w:top w:val="single" w:sz="2" w:space="0" w:color="D9E2F3"/>
          <w:left w:val="single" w:sz="24" w:space="0" w:color="2E5496"/>
          <w:bottom w:val="single" w:sz="2" w:space="0" w:color="D9E2F3"/>
          <w:right w:val="single" w:sz="2" w:space="0" w:color="D9E2F3"/>
        </w:tblBorders>
        <w:tblCellMar>
          <w:left w:w="10" w:type="dxa"/>
          <w:right w:w="10" w:type="dxa"/>
        </w:tblCellMar>
        <w:tblLook w:val="0000" w:firstRow="0" w:lastRow="0" w:firstColumn="0" w:lastColumn="0" w:noHBand="0" w:noVBand="0"/>
      </w:tblPr>
      <w:tblGrid>
        <w:gridCol w:w="9360"/>
      </w:tblGrid>
      <w:tr w:rsidR="00E84FE2" w14:paraId="71E8BBB3" w14:textId="77777777">
        <w:tblPrEx>
          <w:tblCellMar>
            <w:top w:w="0" w:type="dxa"/>
            <w:bottom w:w="0" w:type="dxa"/>
          </w:tblCellMar>
        </w:tblPrEx>
        <w:tc>
          <w:tcPr>
            <w:tcW w:w="9360" w:type="dxa"/>
            <w:shd w:val="clear" w:color="auto" w:fill="D9E2F3"/>
            <w:tcMar>
              <w:top w:w="120" w:type="dxa"/>
              <w:left w:w="180" w:type="dxa"/>
              <w:bottom w:w="120" w:type="dxa"/>
              <w:right w:w="180" w:type="dxa"/>
            </w:tcMar>
          </w:tcPr>
          <w:p w14:paraId="70BDE301" w14:textId="77777777" w:rsidR="00E84FE2" w:rsidRDefault="00000000">
            <w:pPr>
              <w:spacing w:after="60"/>
            </w:pPr>
            <w:r>
              <w:rPr>
                <w:b/>
                <w:bCs/>
                <w:color w:val="1F3864"/>
              </w:rPr>
              <w:lastRenderedPageBreak/>
              <w:t>The situation</w:t>
            </w:r>
          </w:p>
          <w:p w14:paraId="3FBA8763" w14:textId="77777777" w:rsidR="00E84FE2" w:rsidRDefault="00000000">
            <w:pPr>
              <w:spacing w:line="264" w:lineRule="auto"/>
            </w:pPr>
            <w:r>
              <w:rPr>
                <w:color w:val="333333"/>
                <w:sz w:val="21"/>
                <w:szCs w:val="21"/>
              </w:rPr>
              <w:t>A Value Stream Manager needs the procurement team to switch from large monthly bulk orders to smaller, demand-based orders — a change that will improve flow but adds work for procurement, who do not report to them.</w:t>
            </w:r>
          </w:p>
        </w:tc>
      </w:tr>
    </w:tbl>
    <w:p w14:paraId="0875C0F6" w14:textId="77777777" w:rsidR="00E84FE2" w:rsidRDefault="00000000">
      <w:pPr>
        <w:pStyle w:val="Heading2"/>
      </w:pPr>
      <w:bookmarkStart w:id="13" w:name="_Toc235612768"/>
      <w:r>
        <w:t>The authority-only approach (fails)</w:t>
      </w:r>
      <w:bookmarkEnd w:id="13"/>
    </w:p>
    <w:p w14:paraId="28784575" w14:textId="77777777" w:rsidR="00E84FE2" w:rsidRDefault="00000000">
      <w:pPr>
        <w:pStyle w:val="ListParagraph"/>
        <w:numPr>
          <w:ilvl w:val="0"/>
          <w:numId w:val="2"/>
        </w:numPr>
        <w:spacing w:after="70" w:line="268" w:lineRule="auto"/>
      </w:pPr>
      <w:r>
        <w:t>Escalates to procurement's manager to force the change.</w:t>
      </w:r>
    </w:p>
    <w:p w14:paraId="290D53CD" w14:textId="77777777" w:rsidR="00E84FE2" w:rsidRDefault="00000000">
      <w:pPr>
        <w:pStyle w:val="ListParagraph"/>
        <w:numPr>
          <w:ilvl w:val="0"/>
          <w:numId w:val="2"/>
        </w:numPr>
        <w:spacing w:after="70" w:line="268" w:lineRule="auto"/>
      </w:pPr>
      <w:r>
        <w:t>Procurement complies on paper but drags their feet and looks for reasons it won't work.</w:t>
      </w:r>
    </w:p>
    <w:p w14:paraId="7F549F15" w14:textId="77777777" w:rsidR="00E84FE2" w:rsidRDefault="00000000">
      <w:pPr>
        <w:pStyle w:val="ListParagraph"/>
        <w:numPr>
          <w:ilvl w:val="0"/>
          <w:numId w:val="2"/>
        </w:numPr>
        <w:spacing w:after="70" w:line="268" w:lineRule="auto"/>
      </w:pPr>
      <w:r>
        <w:t>The change is technically “done” but never really adopted, and the relationship is now strained.</w:t>
      </w:r>
    </w:p>
    <w:p w14:paraId="6C67F0FF" w14:textId="77777777" w:rsidR="00E84FE2" w:rsidRDefault="00000000">
      <w:pPr>
        <w:pStyle w:val="Heading2"/>
      </w:pPr>
      <w:bookmarkStart w:id="14" w:name="_Toc235612769"/>
      <w:r>
        <w:t>The relationship-led approach (works)</w:t>
      </w:r>
      <w:bookmarkEnd w:id="14"/>
    </w:p>
    <w:p w14:paraId="6A9556F4" w14:textId="77777777" w:rsidR="00E84FE2" w:rsidRDefault="00000000">
      <w:pPr>
        <w:pStyle w:val="ListParagraph"/>
        <w:numPr>
          <w:ilvl w:val="0"/>
          <w:numId w:val="2"/>
        </w:numPr>
        <w:spacing w:after="70" w:line="268" w:lineRule="auto"/>
      </w:pPr>
      <w:r>
        <w:t>First understands procurement's pressures — they are measured on supplier discounts tied to bulk orders.</w:t>
      </w:r>
    </w:p>
    <w:p w14:paraId="7E35B344" w14:textId="77777777" w:rsidR="00E84FE2" w:rsidRDefault="00000000">
      <w:pPr>
        <w:pStyle w:val="ListParagraph"/>
        <w:numPr>
          <w:ilvl w:val="0"/>
          <w:numId w:val="2"/>
        </w:numPr>
        <w:spacing w:after="70" w:line="268" w:lineRule="auto"/>
      </w:pPr>
      <w:r>
        <w:t>Reframes the request as win–win: negotiates with suppliers so smaller orders keep most of the discount, protecting procurement's targets.</w:t>
      </w:r>
    </w:p>
    <w:p w14:paraId="6D2B35BB" w14:textId="77777777" w:rsidR="00E84FE2" w:rsidRDefault="00000000">
      <w:pPr>
        <w:pStyle w:val="ListParagraph"/>
        <w:numPr>
          <w:ilvl w:val="0"/>
          <w:numId w:val="2"/>
        </w:numPr>
        <w:spacing w:after="70" w:line="268" w:lineRule="auto"/>
      </w:pPr>
      <w:r>
        <w:t>Involves procurement in designing the new approach, so it becomes their idea too.</w:t>
      </w:r>
    </w:p>
    <w:p w14:paraId="2DB934DB" w14:textId="77777777" w:rsidR="00E84FE2" w:rsidRDefault="00000000">
      <w:pPr>
        <w:pStyle w:val="ListParagraph"/>
        <w:numPr>
          <w:ilvl w:val="0"/>
          <w:numId w:val="2"/>
        </w:numPr>
        <w:spacing w:after="70" w:line="268" w:lineRule="auto"/>
      </w:pPr>
      <w:r>
        <w:t>Gives them public credit when it succeeds — making the next change easier to ask for.</w:t>
      </w:r>
    </w:p>
    <w:tbl>
      <w:tblPr>
        <w:tblW w:w="9360" w:type="dxa"/>
        <w:tblBorders>
          <w:top w:val="single" w:sz="2" w:space="0" w:color="F1F6EC"/>
          <w:left w:val="single" w:sz="24" w:space="0" w:color="2E7D46"/>
          <w:bottom w:val="single" w:sz="2" w:space="0" w:color="F1F6EC"/>
          <w:right w:val="single" w:sz="2" w:space="0" w:color="F1F6EC"/>
        </w:tblBorders>
        <w:tblCellMar>
          <w:left w:w="10" w:type="dxa"/>
          <w:right w:w="10" w:type="dxa"/>
        </w:tblCellMar>
        <w:tblLook w:val="0000" w:firstRow="0" w:lastRow="0" w:firstColumn="0" w:lastColumn="0" w:noHBand="0" w:noVBand="0"/>
      </w:tblPr>
      <w:tblGrid>
        <w:gridCol w:w="9360"/>
      </w:tblGrid>
      <w:tr w:rsidR="00E84FE2" w14:paraId="2CD530E8" w14:textId="77777777">
        <w:tblPrEx>
          <w:tblCellMar>
            <w:top w:w="0" w:type="dxa"/>
            <w:bottom w:w="0" w:type="dxa"/>
          </w:tblCellMar>
        </w:tblPrEx>
        <w:tc>
          <w:tcPr>
            <w:tcW w:w="9360" w:type="dxa"/>
            <w:shd w:val="clear" w:color="auto" w:fill="F1F6EC"/>
            <w:tcMar>
              <w:top w:w="120" w:type="dxa"/>
              <w:left w:w="180" w:type="dxa"/>
              <w:bottom w:w="120" w:type="dxa"/>
              <w:right w:w="180" w:type="dxa"/>
            </w:tcMar>
          </w:tcPr>
          <w:p w14:paraId="352D7B05" w14:textId="77777777" w:rsidR="00E84FE2" w:rsidRDefault="00000000">
            <w:pPr>
              <w:spacing w:line="264" w:lineRule="auto"/>
            </w:pPr>
            <w:r>
              <w:rPr>
                <w:b/>
                <w:bCs/>
                <w:color w:val="333333"/>
                <w:sz w:val="21"/>
                <w:szCs w:val="21"/>
              </w:rPr>
              <w:t xml:space="preserve">The lesson: </w:t>
            </w:r>
            <w:r>
              <w:rPr>
                <w:color w:val="333333"/>
                <w:sz w:val="21"/>
                <w:szCs w:val="21"/>
              </w:rPr>
              <w:t>the technical change was identical. The relationship work is what turned reluctant compliance into willing commitment — and left goodwill in the bank for next time.</w:t>
            </w:r>
          </w:p>
        </w:tc>
      </w:tr>
    </w:tbl>
    <w:p w14:paraId="09C1EFB4" w14:textId="77777777" w:rsidR="00E84FE2" w:rsidRDefault="00000000">
      <w:pPr>
        <w:pStyle w:val="Heading1"/>
      </w:pPr>
      <w:bookmarkStart w:id="15" w:name="_Toc235612770"/>
      <w:r>
        <w:t>7. A quick self-check</w:t>
      </w:r>
      <w:bookmarkEnd w:id="15"/>
    </w:p>
    <w:p w14:paraId="70158170" w14:textId="77777777" w:rsidR="00E84FE2" w:rsidRDefault="00000000">
      <w:pPr>
        <w:spacing w:after="100" w:line="276" w:lineRule="auto"/>
      </w:pPr>
      <w:r>
        <w:t>A Value Stream Manager can rate their relationship management against these questions:</w:t>
      </w:r>
    </w:p>
    <w:p w14:paraId="0413969C" w14:textId="77777777" w:rsidR="00E84FE2" w:rsidRDefault="00000000">
      <w:pPr>
        <w:pStyle w:val="ListParagraph"/>
        <w:numPr>
          <w:ilvl w:val="0"/>
          <w:numId w:val="2"/>
        </w:numPr>
        <w:spacing w:after="70" w:line="268" w:lineRule="auto"/>
      </w:pPr>
      <w:r>
        <w:t>Do I know my key stakeholders and what success looks like for each of them?</w:t>
      </w:r>
    </w:p>
    <w:p w14:paraId="7E8587F4" w14:textId="77777777" w:rsidR="00E84FE2" w:rsidRDefault="00000000">
      <w:pPr>
        <w:pStyle w:val="ListParagraph"/>
        <w:numPr>
          <w:ilvl w:val="0"/>
          <w:numId w:val="2"/>
        </w:numPr>
        <w:spacing w:after="70" w:line="268" w:lineRule="auto"/>
      </w:pPr>
      <w:r>
        <w:t>Have I spoken with them recently for a reason other than needing something?</w:t>
      </w:r>
    </w:p>
    <w:p w14:paraId="63BD9F10" w14:textId="77777777" w:rsidR="00E84FE2" w:rsidRDefault="00000000">
      <w:pPr>
        <w:pStyle w:val="ListParagraph"/>
        <w:numPr>
          <w:ilvl w:val="0"/>
          <w:numId w:val="2"/>
        </w:numPr>
        <w:spacing w:after="70" w:line="268" w:lineRule="auto"/>
      </w:pPr>
      <w:r>
        <w:t>Do I keep my small promises, every time?</w:t>
      </w:r>
    </w:p>
    <w:p w14:paraId="7C8C19BA" w14:textId="77777777" w:rsidR="00E84FE2" w:rsidRDefault="00000000">
      <w:pPr>
        <w:pStyle w:val="ListParagraph"/>
        <w:numPr>
          <w:ilvl w:val="0"/>
          <w:numId w:val="2"/>
        </w:numPr>
        <w:spacing w:after="70" w:line="268" w:lineRule="auto"/>
      </w:pPr>
      <w:r>
        <w:t>When I make a request, is it clear how it helps them or the customer?</w:t>
      </w:r>
    </w:p>
    <w:p w14:paraId="25C3EA82" w14:textId="77777777" w:rsidR="00E84FE2" w:rsidRDefault="00000000">
      <w:pPr>
        <w:pStyle w:val="ListParagraph"/>
        <w:numPr>
          <w:ilvl w:val="0"/>
          <w:numId w:val="2"/>
        </w:numPr>
        <w:spacing w:after="70" w:line="268" w:lineRule="auto"/>
      </w:pPr>
      <w:r>
        <w:t>Do I go and see the work, not just discuss it in meetings?</w:t>
      </w:r>
    </w:p>
    <w:p w14:paraId="68085378" w14:textId="77777777" w:rsidR="00E84FE2" w:rsidRDefault="00000000">
      <w:pPr>
        <w:pStyle w:val="ListParagraph"/>
        <w:numPr>
          <w:ilvl w:val="0"/>
          <w:numId w:val="2"/>
        </w:numPr>
        <w:spacing w:after="70" w:line="268" w:lineRule="auto"/>
      </w:pPr>
      <w:r>
        <w:t>Do I address tension early, focusing on the process rather than the person?</w:t>
      </w:r>
    </w:p>
    <w:p w14:paraId="2276FF0F" w14:textId="77777777" w:rsidR="00E84FE2" w:rsidRDefault="00000000">
      <w:pPr>
        <w:pStyle w:val="ListParagraph"/>
        <w:numPr>
          <w:ilvl w:val="0"/>
          <w:numId w:val="2"/>
        </w:numPr>
        <w:spacing w:after="70" w:line="268" w:lineRule="auto"/>
      </w:pPr>
      <w:r>
        <w:t>Do I share credit generously when things go well?</w:t>
      </w:r>
    </w:p>
    <w:p w14:paraId="4A239B78" w14:textId="77777777" w:rsidR="00E84FE2" w:rsidRDefault="00000000">
      <w:pPr>
        <w:pStyle w:val="Heading1"/>
      </w:pPr>
      <w:bookmarkStart w:id="16" w:name="_Toc235612771"/>
      <w:r>
        <w:t>8. Key takeaways</w:t>
      </w:r>
      <w:bookmarkEnd w:id="16"/>
    </w:p>
    <w:p w14:paraId="53102D33" w14:textId="77777777" w:rsidR="00E84FE2" w:rsidRDefault="00000000">
      <w:pPr>
        <w:pStyle w:val="ListParagraph"/>
        <w:numPr>
          <w:ilvl w:val="0"/>
          <w:numId w:val="2"/>
        </w:numPr>
        <w:spacing w:after="70" w:line="268" w:lineRule="auto"/>
      </w:pPr>
      <w:r>
        <w:rPr>
          <w:b/>
          <w:bCs/>
        </w:rPr>
        <w:t xml:space="preserve">Relationships are the real tool. </w:t>
      </w:r>
      <w:r>
        <w:t>The Value Stream Manager owns the flow but not the people, so influence through trust — not authority — is how change happens.</w:t>
      </w:r>
    </w:p>
    <w:p w14:paraId="2EA2D8DE" w14:textId="77777777" w:rsidR="00E84FE2" w:rsidRDefault="00000000">
      <w:pPr>
        <w:pStyle w:val="ListParagraph"/>
        <w:numPr>
          <w:ilvl w:val="0"/>
          <w:numId w:val="2"/>
        </w:numPr>
        <w:spacing w:after="70" w:line="268" w:lineRule="auto"/>
      </w:pPr>
      <w:r>
        <w:rPr>
          <w:b/>
          <w:bCs/>
        </w:rPr>
        <w:t xml:space="preserve">Trust is the foundation. </w:t>
      </w:r>
      <w:r>
        <w:t>Built through credibility, reliability, closeness and low self-interest, and spent whenever you need help.</w:t>
      </w:r>
    </w:p>
    <w:p w14:paraId="3866803C" w14:textId="77777777" w:rsidR="00E84FE2" w:rsidRDefault="00000000">
      <w:pPr>
        <w:pStyle w:val="ListParagraph"/>
        <w:numPr>
          <w:ilvl w:val="0"/>
          <w:numId w:val="2"/>
        </w:numPr>
        <w:spacing w:after="70" w:line="268" w:lineRule="auto"/>
      </w:pPr>
      <w:r>
        <w:rPr>
          <w:b/>
          <w:bCs/>
        </w:rPr>
        <w:t xml:space="preserve">Make everything win–win. </w:t>
      </w:r>
      <w:r>
        <w:t>People sustain changes that also serve their own goals and the customer's.</w:t>
      </w:r>
    </w:p>
    <w:p w14:paraId="4F52517E" w14:textId="77777777" w:rsidR="00E84FE2" w:rsidRDefault="00000000">
      <w:pPr>
        <w:pStyle w:val="ListParagraph"/>
        <w:numPr>
          <w:ilvl w:val="0"/>
          <w:numId w:val="2"/>
        </w:numPr>
        <w:spacing w:after="70" w:line="268" w:lineRule="auto"/>
      </w:pPr>
      <w:r>
        <w:rPr>
          <w:b/>
          <w:bCs/>
        </w:rPr>
        <w:t xml:space="preserve">Invest before you withdraw. </w:t>
      </w:r>
      <w:r>
        <w:t>Build relationships in the good times, on a predictable rhythm, so they hold under pressure.</w:t>
      </w:r>
    </w:p>
    <w:p w14:paraId="240D247E" w14:textId="77777777" w:rsidR="00E84FE2" w:rsidRDefault="00000000">
      <w:pPr>
        <w:pStyle w:val="ListParagraph"/>
        <w:numPr>
          <w:ilvl w:val="0"/>
          <w:numId w:val="2"/>
        </w:numPr>
        <w:spacing w:after="70" w:line="268" w:lineRule="auto"/>
      </w:pPr>
      <w:r>
        <w:rPr>
          <w:b/>
          <w:bCs/>
        </w:rPr>
        <w:t xml:space="preserve">Go where the work is. </w:t>
      </w:r>
      <w:r>
        <w:t>Credibility and honest information come from being present, not from the meeting room.</w:t>
      </w:r>
    </w:p>
    <w:p w14:paraId="273DC7D2" w14:textId="77777777" w:rsidR="00E84FE2" w:rsidRDefault="00000000">
      <w:pPr>
        <w:pBdr>
          <w:top w:val="single" w:sz="6" w:space="8" w:color="D6E3F0"/>
        </w:pBdr>
        <w:spacing w:before="240"/>
      </w:pPr>
      <w:r>
        <w:rPr>
          <w:i/>
          <w:iCs/>
          <w:color w:val="555555"/>
          <w:sz w:val="18"/>
          <w:szCs w:val="18"/>
        </w:rPr>
        <w:lastRenderedPageBreak/>
        <w:t>A companion reference to the Value Stream project management beginner's guide. Examples are illustrative and simplified to teach the concepts.</w:t>
      </w:r>
    </w:p>
    <w:sectPr w:rsidR="00E84FE2">
      <w:headerReference w:type="default" r:id="rId7"/>
      <w:footerReference w:type="default" r:id="rId8"/>
      <w:pgSz w:w="12240" w:h="15840"/>
      <w:pgMar w:top="1440" w:right="180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27FE" w14:textId="77777777" w:rsidR="00412B55" w:rsidRDefault="00412B55">
      <w:r>
        <w:separator/>
      </w:r>
    </w:p>
  </w:endnote>
  <w:endnote w:type="continuationSeparator" w:id="0">
    <w:p w14:paraId="3759AF46" w14:textId="77777777" w:rsidR="00412B55" w:rsidRDefault="0041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D64E" w14:textId="77777777" w:rsidR="00E84FE2" w:rsidRDefault="00000000">
    <w:pPr>
      <w:pBdr>
        <w:top w:val="single" w:sz="4" w:space="4" w:color="D6E3F0"/>
      </w:pBdr>
      <w:jc w:val="center"/>
    </w:pPr>
    <w:r>
      <w:rPr>
        <w:color w:val="555555"/>
        <w:sz w:val="16"/>
        <w:szCs w:val="16"/>
      </w:rPr>
      <w:t xml:space="preserve">Page </w:t>
    </w:r>
    <w:r>
      <w:rPr>
        <w:color w:val="555555"/>
        <w:sz w:val="16"/>
        <w:szCs w:val="16"/>
      </w:rPr>
      <w:fldChar w:fldCharType="begin"/>
    </w:r>
    <w:r>
      <w:rPr>
        <w:color w:val="555555"/>
        <w:sz w:val="16"/>
        <w:szCs w:val="16"/>
      </w:rPr>
      <w:instrText>PAGE</w:instrText>
    </w:r>
    <w:r>
      <w:rPr>
        <w:color w:val="555555"/>
        <w:sz w:val="16"/>
        <w:szCs w:val="16"/>
      </w:rPr>
      <w:fldChar w:fldCharType="separate"/>
    </w:r>
    <w:r w:rsidR="003D1B73">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6B72" w14:textId="77777777" w:rsidR="00412B55" w:rsidRDefault="00412B55">
      <w:r>
        <w:separator/>
      </w:r>
    </w:p>
  </w:footnote>
  <w:footnote w:type="continuationSeparator" w:id="0">
    <w:p w14:paraId="19F4FB88" w14:textId="77777777" w:rsidR="00412B55" w:rsidRDefault="00412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B5098" w14:textId="77777777" w:rsidR="00E84FE2" w:rsidRDefault="00000000">
    <w:pPr>
      <w:pBdr>
        <w:bottom w:val="single" w:sz="4" w:space="4" w:color="D6E3F0"/>
      </w:pBdr>
      <w:jc w:val="right"/>
    </w:pPr>
    <w:r>
      <w:rPr>
        <w:color w:val="555555"/>
        <w:sz w:val="16"/>
        <w:szCs w:val="16"/>
      </w:rPr>
      <w:t>Relationship Management — The Core Skill of the Value Stream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10A80"/>
    <w:multiLevelType w:val="hybridMultilevel"/>
    <w:tmpl w:val="F33CD928"/>
    <w:lvl w:ilvl="0" w:tplc="812C0E16">
      <w:start w:val="1"/>
      <w:numFmt w:val="decimal"/>
      <w:lvlText w:val="%1."/>
      <w:lvlJc w:val="left"/>
      <w:pPr>
        <w:ind w:left="360" w:hanging="260"/>
      </w:pPr>
    </w:lvl>
    <w:lvl w:ilvl="1" w:tplc="DF904F40">
      <w:numFmt w:val="decimal"/>
      <w:lvlText w:val=""/>
      <w:lvlJc w:val="left"/>
    </w:lvl>
    <w:lvl w:ilvl="2" w:tplc="9FF4C9E0">
      <w:numFmt w:val="decimal"/>
      <w:lvlText w:val=""/>
      <w:lvlJc w:val="left"/>
    </w:lvl>
    <w:lvl w:ilvl="3" w:tplc="2DD4A8AC">
      <w:numFmt w:val="decimal"/>
      <w:lvlText w:val=""/>
      <w:lvlJc w:val="left"/>
    </w:lvl>
    <w:lvl w:ilvl="4" w:tplc="7E0859DA">
      <w:numFmt w:val="decimal"/>
      <w:lvlText w:val=""/>
      <w:lvlJc w:val="left"/>
    </w:lvl>
    <w:lvl w:ilvl="5" w:tplc="9A2AB716">
      <w:numFmt w:val="decimal"/>
      <w:lvlText w:val=""/>
      <w:lvlJc w:val="left"/>
    </w:lvl>
    <w:lvl w:ilvl="6" w:tplc="7ED4F434">
      <w:numFmt w:val="decimal"/>
      <w:lvlText w:val=""/>
      <w:lvlJc w:val="left"/>
    </w:lvl>
    <w:lvl w:ilvl="7" w:tplc="0B701C78">
      <w:numFmt w:val="decimal"/>
      <w:lvlText w:val=""/>
      <w:lvlJc w:val="left"/>
    </w:lvl>
    <w:lvl w:ilvl="8" w:tplc="7FF0922E">
      <w:numFmt w:val="decimal"/>
      <w:lvlText w:val=""/>
      <w:lvlJc w:val="left"/>
    </w:lvl>
  </w:abstractNum>
  <w:abstractNum w:abstractNumId="1" w15:restartNumberingAfterBreak="0">
    <w:nsid w:val="49532AD2"/>
    <w:multiLevelType w:val="hybridMultilevel"/>
    <w:tmpl w:val="DA929432"/>
    <w:lvl w:ilvl="0" w:tplc="CA967274">
      <w:start w:val="1"/>
      <w:numFmt w:val="bullet"/>
      <w:lvlText w:val="●"/>
      <w:lvlJc w:val="left"/>
      <w:pPr>
        <w:ind w:left="720" w:hanging="360"/>
      </w:pPr>
    </w:lvl>
    <w:lvl w:ilvl="1" w:tplc="33A0108E">
      <w:start w:val="1"/>
      <w:numFmt w:val="bullet"/>
      <w:lvlText w:val="○"/>
      <w:lvlJc w:val="left"/>
      <w:pPr>
        <w:ind w:left="1440" w:hanging="360"/>
      </w:pPr>
    </w:lvl>
    <w:lvl w:ilvl="2" w:tplc="67886C10">
      <w:start w:val="1"/>
      <w:numFmt w:val="bullet"/>
      <w:lvlText w:val="■"/>
      <w:lvlJc w:val="left"/>
      <w:pPr>
        <w:ind w:left="2160" w:hanging="360"/>
      </w:pPr>
    </w:lvl>
    <w:lvl w:ilvl="3" w:tplc="2FD0B4EE">
      <w:start w:val="1"/>
      <w:numFmt w:val="bullet"/>
      <w:lvlText w:val="●"/>
      <w:lvlJc w:val="left"/>
      <w:pPr>
        <w:ind w:left="2880" w:hanging="360"/>
      </w:pPr>
    </w:lvl>
    <w:lvl w:ilvl="4" w:tplc="A3FA47F4">
      <w:start w:val="1"/>
      <w:numFmt w:val="bullet"/>
      <w:lvlText w:val="○"/>
      <w:lvlJc w:val="left"/>
      <w:pPr>
        <w:ind w:left="3600" w:hanging="360"/>
      </w:pPr>
    </w:lvl>
    <w:lvl w:ilvl="5" w:tplc="CDB654B6">
      <w:start w:val="1"/>
      <w:numFmt w:val="bullet"/>
      <w:lvlText w:val="■"/>
      <w:lvlJc w:val="left"/>
      <w:pPr>
        <w:ind w:left="4320" w:hanging="360"/>
      </w:pPr>
    </w:lvl>
    <w:lvl w:ilvl="6" w:tplc="24A2AA1C">
      <w:start w:val="1"/>
      <w:numFmt w:val="bullet"/>
      <w:lvlText w:val="●"/>
      <w:lvlJc w:val="left"/>
      <w:pPr>
        <w:ind w:left="5040" w:hanging="360"/>
      </w:pPr>
    </w:lvl>
    <w:lvl w:ilvl="7" w:tplc="5EA67DF8">
      <w:start w:val="1"/>
      <w:numFmt w:val="bullet"/>
      <w:lvlText w:val="●"/>
      <w:lvlJc w:val="left"/>
      <w:pPr>
        <w:ind w:left="5760" w:hanging="360"/>
      </w:pPr>
    </w:lvl>
    <w:lvl w:ilvl="8" w:tplc="2E1A0494">
      <w:start w:val="1"/>
      <w:numFmt w:val="bullet"/>
      <w:lvlText w:val="●"/>
      <w:lvlJc w:val="left"/>
      <w:pPr>
        <w:ind w:left="6480" w:hanging="360"/>
      </w:pPr>
    </w:lvl>
  </w:abstractNum>
  <w:abstractNum w:abstractNumId="2" w15:restartNumberingAfterBreak="0">
    <w:nsid w:val="650E04DD"/>
    <w:multiLevelType w:val="hybridMultilevel"/>
    <w:tmpl w:val="A35A1F08"/>
    <w:lvl w:ilvl="0" w:tplc="C74E8344">
      <w:start w:val="1"/>
      <w:numFmt w:val="decimal"/>
      <w:lvlText w:val="%1."/>
      <w:lvlJc w:val="left"/>
      <w:pPr>
        <w:ind w:left="360" w:hanging="260"/>
      </w:pPr>
    </w:lvl>
    <w:lvl w:ilvl="1" w:tplc="38D49CC4">
      <w:numFmt w:val="decimal"/>
      <w:lvlText w:val=""/>
      <w:lvlJc w:val="left"/>
    </w:lvl>
    <w:lvl w:ilvl="2" w:tplc="AF7E2B78">
      <w:numFmt w:val="decimal"/>
      <w:lvlText w:val=""/>
      <w:lvlJc w:val="left"/>
    </w:lvl>
    <w:lvl w:ilvl="3" w:tplc="EFECC8D4">
      <w:numFmt w:val="decimal"/>
      <w:lvlText w:val=""/>
      <w:lvlJc w:val="left"/>
    </w:lvl>
    <w:lvl w:ilvl="4" w:tplc="14AA38DE">
      <w:numFmt w:val="decimal"/>
      <w:lvlText w:val=""/>
      <w:lvlJc w:val="left"/>
    </w:lvl>
    <w:lvl w:ilvl="5" w:tplc="1B363ABA">
      <w:numFmt w:val="decimal"/>
      <w:lvlText w:val=""/>
      <w:lvlJc w:val="left"/>
    </w:lvl>
    <w:lvl w:ilvl="6" w:tplc="5442E5F0">
      <w:numFmt w:val="decimal"/>
      <w:lvlText w:val=""/>
      <w:lvlJc w:val="left"/>
    </w:lvl>
    <w:lvl w:ilvl="7" w:tplc="E3D880D4">
      <w:numFmt w:val="decimal"/>
      <w:lvlText w:val=""/>
      <w:lvlJc w:val="left"/>
    </w:lvl>
    <w:lvl w:ilvl="8" w:tplc="BB343978">
      <w:numFmt w:val="decimal"/>
      <w:lvlText w:val=""/>
      <w:lvlJc w:val="left"/>
    </w:lvl>
  </w:abstractNum>
  <w:abstractNum w:abstractNumId="3" w15:restartNumberingAfterBreak="0">
    <w:nsid w:val="6877690E"/>
    <w:multiLevelType w:val="hybridMultilevel"/>
    <w:tmpl w:val="1B2271F2"/>
    <w:lvl w:ilvl="0" w:tplc="DF765036">
      <w:start w:val="1"/>
      <w:numFmt w:val="bullet"/>
      <w:lvlText w:val="•"/>
      <w:lvlJc w:val="left"/>
      <w:pPr>
        <w:ind w:left="360" w:hanging="220"/>
      </w:pPr>
    </w:lvl>
    <w:lvl w:ilvl="1" w:tplc="9928388C">
      <w:start w:val="1"/>
      <w:numFmt w:val="bullet"/>
      <w:lvlText w:val="–"/>
      <w:lvlJc w:val="left"/>
      <w:pPr>
        <w:ind w:left="780" w:hanging="220"/>
      </w:pPr>
    </w:lvl>
    <w:lvl w:ilvl="2" w:tplc="C2246196">
      <w:numFmt w:val="decimal"/>
      <w:lvlText w:val=""/>
      <w:lvlJc w:val="left"/>
    </w:lvl>
    <w:lvl w:ilvl="3" w:tplc="40C665BA">
      <w:numFmt w:val="decimal"/>
      <w:lvlText w:val=""/>
      <w:lvlJc w:val="left"/>
    </w:lvl>
    <w:lvl w:ilvl="4" w:tplc="0D165A1E">
      <w:numFmt w:val="decimal"/>
      <w:lvlText w:val=""/>
      <w:lvlJc w:val="left"/>
    </w:lvl>
    <w:lvl w:ilvl="5" w:tplc="A2006EB4">
      <w:numFmt w:val="decimal"/>
      <w:lvlText w:val=""/>
      <w:lvlJc w:val="left"/>
    </w:lvl>
    <w:lvl w:ilvl="6" w:tplc="606A38AC">
      <w:numFmt w:val="decimal"/>
      <w:lvlText w:val=""/>
      <w:lvlJc w:val="left"/>
    </w:lvl>
    <w:lvl w:ilvl="7" w:tplc="7842009E">
      <w:numFmt w:val="decimal"/>
      <w:lvlText w:val=""/>
      <w:lvlJc w:val="left"/>
    </w:lvl>
    <w:lvl w:ilvl="8" w:tplc="0622A4F0">
      <w:numFmt w:val="decimal"/>
      <w:lvlText w:val=""/>
      <w:lvlJc w:val="left"/>
    </w:lvl>
  </w:abstractNum>
  <w:num w:numId="1" w16cid:durableId="1683360842">
    <w:abstractNumId w:val="1"/>
    <w:lvlOverride w:ilvl="0">
      <w:startOverride w:val="1"/>
    </w:lvlOverride>
  </w:num>
  <w:num w:numId="2" w16cid:durableId="1633514968">
    <w:abstractNumId w:val="3"/>
    <w:lvlOverride w:ilvl="0">
      <w:startOverride w:val="1"/>
    </w:lvlOverride>
  </w:num>
  <w:num w:numId="3" w16cid:durableId="14308493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E2"/>
    <w:rsid w:val="003D1B73"/>
    <w:rsid w:val="00412B55"/>
    <w:rsid w:val="00C812BB"/>
    <w:rsid w:val="00E84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0462"/>
  <w15:docId w15:val="{AE7420AC-C190-4ADD-8C8B-ECA197AD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22222"/>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30"/>
      <w:szCs w:val="30"/>
    </w:rPr>
  </w:style>
  <w:style w:type="paragraph" w:styleId="Heading2">
    <w:name w:val="heading 2"/>
    <w:uiPriority w:val="9"/>
    <w:unhideWhenUsed/>
    <w:qFormat/>
    <w:pPr>
      <w:spacing w:before="240" w:after="100"/>
      <w:outlineLvl w:val="1"/>
    </w:pPr>
    <w:rPr>
      <w:b/>
      <w:bCs/>
      <w:color w:val="2E5496"/>
      <w:sz w:val="25"/>
      <w:szCs w:val="25"/>
    </w:rPr>
  </w:style>
  <w:style w:type="paragraph" w:styleId="Heading3">
    <w:name w:val="heading 3"/>
    <w:uiPriority w:val="9"/>
    <w:semiHidden/>
    <w:unhideWhenUsed/>
    <w:qFormat/>
    <w:pPr>
      <w:outlineLvl w:val="2"/>
    </w:pPr>
    <w:rPr>
      <w:color w:val="1F3864"/>
      <w:sz w:val="24"/>
      <w:szCs w:val="24"/>
    </w:rPr>
  </w:style>
  <w:style w:type="paragraph" w:styleId="Heading4">
    <w:name w:val="heading 4"/>
    <w:uiPriority w:val="9"/>
    <w:semiHidden/>
    <w:unhideWhenUsed/>
    <w:qFormat/>
    <w:pPr>
      <w:outlineLvl w:val="3"/>
    </w:pPr>
    <w:rPr>
      <w:i/>
      <w:iCs/>
      <w:color w:val="2E5496"/>
    </w:rPr>
  </w:style>
  <w:style w:type="paragraph" w:styleId="Heading5">
    <w:name w:val="heading 5"/>
    <w:uiPriority w:val="9"/>
    <w:semiHidden/>
    <w:unhideWhenUsed/>
    <w:qFormat/>
    <w:pPr>
      <w:outlineLvl w:val="4"/>
    </w:pPr>
    <w:rPr>
      <w:color w:val="2E5496"/>
    </w:rPr>
  </w:style>
  <w:style w:type="paragraph" w:styleId="Heading6">
    <w:name w:val="heading 6"/>
    <w:uiPriority w:val="9"/>
    <w:semiHidden/>
    <w:unhideWhenUsed/>
    <w:qFormat/>
    <w:pPr>
      <w:outlineLvl w:val="5"/>
    </w:pPr>
    <w:rPr>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2E5496"/>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3D1B73"/>
    <w:pPr>
      <w:spacing w:after="100"/>
    </w:pPr>
  </w:style>
  <w:style w:type="paragraph" w:styleId="TOC2">
    <w:name w:val="toc 2"/>
    <w:basedOn w:val="Normal"/>
    <w:next w:val="Normal"/>
    <w:autoRedefine/>
    <w:uiPriority w:val="39"/>
    <w:unhideWhenUsed/>
    <w:rsid w:val="003D1B7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2024</Words>
  <Characters>11543</Characters>
  <Application>Microsoft Office Word</Application>
  <DocSecurity>0</DocSecurity>
  <Lines>96</Lines>
  <Paragraphs>27</Paragraphs>
  <ScaleCrop>false</ScaleCrop>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Relationship Management for the Value Stream Manager</dc:title>
  <dc:creator>Durable Hardwoods</dc:creator>
  <cp:lastModifiedBy>A Walshe-Cutter</cp:lastModifiedBy>
  <cp:revision>2</cp:revision>
  <dcterms:created xsi:type="dcterms:W3CDTF">2026-07-22T01:37:00Z</dcterms:created>
  <dcterms:modified xsi:type="dcterms:W3CDTF">2026-07-22T01:41:00Z</dcterms:modified>
</cp:coreProperties>
</file>