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color w:val="2E5496"/>
          <w:sz w:val="18"/>
          <w:szCs w:val="18"/>
        </w:rPr>
        <w:t xml:space="preserve">SSLM  ·  Simple Solution, Low Maintenance</w:t>
      </w:r>
    </w:p>
    <w:p>
      <w:pPr>
        <w:pBdr>
          <w:bottom w:val="single" w:color="C55A11" w:sz="12" w:space="6"/>
        </w:pBdr>
        <w:spacing w:after="0" w:before="80"/>
      </w:pPr>
      <w:r>
        <w:rPr>
          <w:b/>
          <w:bCs/>
          <w:color w:val="1F3864"/>
          <w:sz w:val="40"/>
          <w:szCs w:val="40"/>
        </w:rPr>
        <w:t xml:space="preserve">SSLM &amp; Value Stream Project Management</w:t>
      </w:r>
    </w:p>
    <w:p>
      <w:pPr>
        <w:spacing w:after="40" w:before="120"/>
      </w:pPr>
      <w:r>
        <w:rPr>
          <w:i/>
          <w:iCs/>
          <w:color w:val="5B6472"/>
          <w:sz w:val="21"/>
          <w:szCs w:val="21"/>
        </w:rPr>
        <w:t xml:space="preserve">How the SSLM framework governs a value stream — principle alignment, practice integration, the who / what / how / when / where / why, and the relationship-management skill that makes it work.</w:t>
      </w:r>
    </w:p>
    <w:p>
      <w:pPr>
        <w:spacing w:after="200"/>
      </w:pPr>
      <w:r>
        <w:rPr>
          <w:color w:val="5B6472"/>
          <w:sz w:val="17"/>
          <w:szCs w:val="17"/>
        </w:rPr>
        <w:t xml:space="preserve">Enterprise Extension guide  ·  Tier 3–4  ·  V1  ·  22 July 2026</w:t>
      </w:r>
    </w:p>
    <w:p>
      <w:pPr>
        <w:pStyle w:val="Heading1"/>
        <w:spacing w:after="110" w:before="260"/>
      </w:pPr>
      <w:r>
        <w:rPr>
          <w:color w:val="1F3864"/>
        </w:rPr>
        <w:t xml:space="preserve">Purpose</w:t>
      </w:r>
    </w:p>
    <w:p>
      <w:pPr>
        <w:spacing w:after="140" w:line="276"/>
      </w:pPr>
      <w:r>
        <w:t xml:space="preserve">Value Stream Project Management (VSPM, also called Value Stream Management) manages the end-to-end flow that turns a customer request into delivered value, and improves it continuously. SSLM does not compete with it. </w:t>
      </w:r>
      <w:r>
        <w:rPr>
          <w:b/>
          <w:bCs/>
          <w:color w:val="1F3864"/>
        </w:rPr>
        <w:t xml:space="preserve">SSLM is the governance, funding and reporting layer that sits above the altitude break; VSPM is the delivery discipline that runs the flow below it.</w:t>
      </w:r>
      <w:r>
        <w:t xml:space="preserve"> This guide explains how the two fit together: how their principles align, how their practices combine, and how to run a value stream under SSLM governance.</w:t>
      </w:r>
    </w:p>
    <w:p>
      <w:pPr>
        <w:spacing w:after="140" w:line="276"/>
      </w:pPr>
      <w:r>
        <w:rPr>
          <w:b/>
          <w:bCs/>
          <w:color w:val="1F3864"/>
        </w:rPr>
        <w:t xml:space="preserve">When this applies. </w:t>
      </w:r>
      <w:r>
        <w:t xml:space="preserve">This integration lives in the SSLM Enterprise Extension (Tier 3–4). It is picked up only on a real trigger under Principle 8 (Right-size governance) — when work becomes continuous flow governed above team level. Most projects never reach it.</w:t>
      </w:r>
    </w:p>
    <w:p>
      <w:pPr>
        <w:pStyle w:val="Heading1"/>
        <w:spacing w:after="110" w:before="260"/>
      </w:pPr>
      <w:r>
        <w:rPr>
          <w:color w:val="1F3864"/>
        </w:rPr>
        <w:t xml:space="preserve">1. The big picture: govern above, run below</w:t>
      </w:r>
    </w:p>
    <w:p>
      <w:pPr>
        <w:spacing w:after="140" w:line="276"/>
      </w:pPr>
      <w:r>
        <w:t xml:space="preserve">A value stream is every step from a customer request to delivered value. VSPM makes that flow visible, measures it, and removes the waste between the steps. Its nine components are value, the value stream, flow, pull, waste, value-stream mapping, metrics, continuous improvement (Kaizen) and people &amp; teams.</w:t>
      </w:r>
    </w:p>
    <w:p>
      <w:pPr>
        <w:spacing w:after="140" w:line="276"/>
      </w:pPr>
      <w:r>
        <w:t xml:space="preserve">SSLM does not run that flow. It governs it. The seam between the two is the </w:t>
      </w:r>
      <w:r>
        <w:rPr>
          <w:b/>
          <w:bCs/>
          <w:color w:val="1F3864"/>
        </w:rPr>
        <w:t xml:space="preserve">altitude break</w:t>
      </w:r>
      <w:r>
        <w:t xml:space="preserve"> — a hard line where the team works in flow below (backlog, WIP, velocity, lead time) and the board sees only what those signals mean for a decision above (Alignment, Confidence, Constraint, Value, Investment). Nothing team-level crosses the line raw.</w:t>
      </w:r>
    </w:p>
    <w:p>
      <w:pPr>
        <w:spacing w:after="140" w:line="276"/>
      </w:pPr>
      <w:r>
        <w:rPr>
          <w:b/>
          <w:bCs/>
          <w:color w:val="1F3864"/>
        </w:rPr>
        <w:t xml:space="preserve">Above the line — SSLM: </w:t>
      </w:r>
      <w:r>
        <w:t xml:space="preserve">governance, funding and board reporting. Decides fund / hold / stop, owns cross-stream dependencies, reports in decision language.</w:t>
      </w:r>
    </w:p>
    <w:p>
      <w:pPr>
        <w:spacing w:after="60" w:line="276"/>
      </w:pPr>
      <w:r>
        <w:rPr>
          <w:b/>
          <w:bCs/>
          <w:color w:val="1F3864"/>
        </w:rPr>
        <w:t xml:space="preserve">Below the line — VSPM: </w:t>
      </w:r>
      <w:r>
        <w:t xml:space="preserve">the delivery discipline. The team works in flow and owns its own improvement loop.</w:t>
      </w:r>
    </w:p>
    <w:p>
      <w:pPr>
        <w:pStyle w:val="Heading1"/>
        <w:spacing w:after="110" w:before="260"/>
      </w:pPr>
      <w:r>
        <w:rPr>
          <w:color w:val="1F3864"/>
        </w:rPr>
        <w:t xml:space="preserve">2. How the principles align</w:t>
      </w:r>
    </w:p>
    <w:p>
      <w:pPr>
        <w:spacing w:after="140" w:line="276"/>
      </w:pPr>
      <w:r>
        <w:t xml:space="preserve">SSLM’s principles and VSPM’s nine components come from the same instinct — remove waste, tell the truth, serve the purpose. Each SSLM principle maps to the VSPM component it reinforces.</w:t>
      </w:r>
    </w:p>
    <w:tbl>
      <w:tblPr>
        <w:tblW w:type="dxa" w:w="9360"/>
        <w:tblBorders>
          <w:top w:val="single" w:color="D9E2F3" w:sz="2"/>
          <w:left w:val="none"/>
          <w:bottom w:val="single" w:color="D9E2F3" w:sz="2"/>
          <w:right w:val="none"/>
          <w:insideH w:val="single" w:color="D9E2F3" w:sz="2"/>
          <w:insideV w:val="none"/>
        </w:tblBorders>
      </w:tblPr>
      <w:tblGrid>
        <w:gridCol w:w="2500"/>
        <w:gridCol w:w="2300"/>
        <w:gridCol w:w="4560"/>
      </w:tblGrid>
      <w:tr>
        <w:trPr>
          <w:tblHeader/>
        </w:trPr>
        <w:tc>
          <w:tcPr>
            <w:tcW w:type="dxa" w:w="2500"/>
            <w:shd w:fill="1F3864" w:color="auto" w:val="clear"/>
            <w:tcMar>
              <w:top w:type="dxa" w:w="60"/>
              <w:left w:type="dxa" w:w="100"/>
              <w:bottom w:type="dxa" w:w="60"/>
              <w:right w:type="dxa" w:w="100"/>
            </w:tcMar>
          </w:tcPr>
          <w:p>
            <w:r>
              <w:rPr>
                <w:b/>
                <w:bCs/>
                <w:color w:val="FFFFFF"/>
                <w:sz w:val="17"/>
                <w:szCs w:val="17"/>
              </w:rPr>
              <w:t xml:space="preserve">SSLM principle</w:t>
            </w:r>
          </w:p>
        </w:tc>
        <w:tc>
          <w:tcPr>
            <w:tcW w:type="dxa" w:w="2300"/>
            <w:shd w:fill="1F3864" w:color="auto" w:val="clear"/>
            <w:tcMar>
              <w:top w:type="dxa" w:w="60"/>
              <w:left w:type="dxa" w:w="100"/>
              <w:bottom w:type="dxa" w:w="60"/>
              <w:right w:type="dxa" w:w="100"/>
            </w:tcMar>
          </w:tcPr>
          <w:p>
            <w:r>
              <w:rPr>
                <w:b/>
                <w:bCs/>
                <w:color w:val="FFFFFF"/>
                <w:sz w:val="17"/>
                <w:szCs w:val="17"/>
              </w:rPr>
              <w:t xml:space="preserve">Aligning VSPM component</w:t>
            </w:r>
          </w:p>
        </w:tc>
        <w:tc>
          <w:tcPr>
            <w:tcW w:type="dxa" w:w="4560"/>
            <w:shd w:fill="1F3864" w:color="auto" w:val="clear"/>
            <w:tcMar>
              <w:top w:type="dxa" w:w="60"/>
              <w:left w:type="dxa" w:w="100"/>
              <w:bottom w:type="dxa" w:w="60"/>
              <w:right w:type="dxa" w:w="100"/>
            </w:tcMar>
          </w:tcPr>
          <w:p>
            <w:r>
              <w:rPr>
                <w:b/>
                <w:bCs/>
                <w:color w:val="FFFFFF"/>
                <w:sz w:val="17"/>
                <w:szCs w:val="17"/>
              </w:rPr>
              <w:t xml:space="preserve">How they reinforce</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Anchor to purpose (umbrella)</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Value · Continuous improvement</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Both start from an externally-defined “why” — strategic purpose and customer value — and question anything that serves neither.</w:t>
            </w:r>
          </w:p>
        </w:tc>
      </w:tr>
      <w:tr>
        <w:tc>
          <w:tcPr>
            <w:tcW w:type="dxa" w:w="2500"/>
            <w:shd w:fill="F2F6FC" w:color="auto" w:val="clear"/>
            <w:tcMar>
              <w:top w:type="dxa" w:w="60"/>
              <w:left w:type="dxa" w:w="100"/>
              <w:bottom w:type="dxa" w:w="60"/>
              <w:right w:type="dxa" w:w="100"/>
            </w:tcMar>
          </w:tcPr>
          <w:p>
            <w:pPr>
              <w:spacing w:after="0" w:line="264"/>
            </w:pPr>
            <w:r>
              <w:rPr>
                <w:b/>
                <w:bCs/>
                <w:color w:val="1F3864"/>
                <w:sz w:val="19"/>
                <w:szCs w:val="19"/>
              </w:rPr>
              <w:t xml:space="preserve">Clear accountability &amp; authority</w:t>
            </w:r>
          </w:p>
        </w:tc>
        <w:tc>
          <w:tcPr>
            <w:tcW w:type="dxa" w:w="2300"/>
            <w:shd w:fill="F2F6FC" w:color="auto" w:val="clear"/>
            <w:tcMar>
              <w:top w:type="dxa" w:w="60"/>
              <w:left w:type="dxa" w:w="100"/>
              <w:bottom w:type="dxa" w:w="60"/>
              <w:right w:type="dxa" w:w="100"/>
            </w:tcMar>
          </w:tcPr>
          <w:p>
            <w:pPr>
              <w:spacing w:after="0" w:line="264"/>
            </w:pPr>
            <w:r>
              <w:rPr>
                <w:b/>
                <w:bCs/>
                <w:color w:val="2E5496"/>
                <w:sz w:val="19"/>
                <w:szCs w:val="19"/>
              </w:rPr>
              <w:t xml:space="preserve">People &amp; teams</w:t>
            </w:r>
          </w:p>
        </w:tc>
        <w:tc>
          <w:tcPr>
            <w:tcW w:type="dxa" w:w="45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One named owner accountable end-to-end: SSLM’s accountable owner is VSPM’s value-stream manager, not a department head.</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Report the real colour</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Metrics (flow efficiency)</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Honest status is honest flow data; flow efficiency exposes the hidden waiting a managed narrative would smooth over.</w:t>
            </w:r>
          </w:p>
        </w:tc>
      </w:tr>
      <w:tr>
        <w:tc>
          <w:tcPr>
            <w:tcW w:type="dxa" w:w="2500"/>
            <w:shd w:fill="F2F6FC" w:color="auto" w:val="clear"/>
            <w:tcMar>
              <w:top w:type="dxa" w:w="60"/>
              <w:left w:type="dxa" w:w="100"/>
              <w:bottom w:type="dxa" w:w="60"/>
              <w:right w:type="dxa" w:w="100"/>
            </w:tcMar>
          </w:tcPr>
          <w:p>
            <w:pPr>
              <w:spacing w:after="0" w:line="264"/>
            </w:pPr>
            <w:r>
              <w:rPr>
                <w:b/>
                <w:bCs/>
                <w:color w:val="1F3864"/>
                <w:sz w:val="19"/>
                <w:szCs w:val="19"/>
              </w:rPr>
              <w:t xml:space="preserve">Fit for purpose</w:t>
            </w:r>
          </w:p>
        </w:tc>
        <w:tc>
          <w:tcPr>
            <w:tcW w:type="dxa" w:w="2300"/>
            <w:shd w:fill="F2F6FC" w:color="auto" w:val="clear"/>
            <w:tcMar>
              <w:top w:type="dxa" w:w="60"/>
              <w:left w:type="dxa" w:w="100"/>
              <w:bottom w:type="dxa" w:w="60"/>
              <w:right w:type="dxa" w:w="100"/>
            </w:tcMar>
          </w:tcPr>
          <w:p>
            <w:pPr>
              <w:spacing w:after="0" w:line="264"/>
            </w:pPr>
            <w:r>
              <w:rPr>
                <w:b/>
                <w:bCs/>
                <w:color w:val="2E5496"/>
                <w:sz w:val="19"/>
                <w:szCs w:val="19"/>
              </w:rPr>
              <w:t xml:space="preserve">Waste</w:t>
            </w:r>
          </w:p>
        </w:tc>
        <w:tc>
          <w:tcPr>
            <w:tcW w:type="dxa" w:w="45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Building beyond what the audience needs to act is over-production — a non-value-adding step in VSPM terms.</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Plan to the critical path</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Value stream · Flow · Mapping</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Both sequence by real dependencies, not dates, and expose the constraint sequence that sets the earliest finish.</w:t>
            </w:r>
          </w:p>
        </w:tc>
      </w:tr>
      <w:tr>
        <w:tc>
          <w:tcPr>
            <w:tcW w:type="dxa" w:w="2500"/>
            <w:shd w:fill="F2F6FC" w:color="auto" w:val="clear"/>
            <w:tcMar>
              <w:top w:type="dxa" w:w="60"/>
              <w:left w:type="dxa" w:w="100"/>
              <w:bottom w:type="dxa" w:w="60"/>
              <w:right w:type="dxa" w:w="100"/>
            </w:tcMar>
          </w:tcPr>
          <w:p>
            <w:pPr>
              <w:spacing w:after="0" w:line="264"/>
            </w:pPr>
            <w:r>
              <w:rPr>
                <w:b/>
                <w:bCs/>
                <w:color w:val="1F3864"/>
                <w:sz w:val="19"/>
                <w:szCs w:val="19"/>
              </w:rPr>
              <w:t xml:space="preserve">Prioritise</w:t>
            </w:r>
          </w:p>
        </w:tc>
        <w:tc>
          <w:tcPr>
            <w:tcW w:type="dxa" w:w="2300"/>
            <w:shd w:fill="F2F6FC" w:color="auto" w:val="clear"/>
            <w:tcMar>
              <w:top w:type="dxa" w:w="60"/>
              <w:left w:type="dxa" w:w="100"/>
              <w:bottom w:type="dxa" w:w="60"/>
              <w:right w:type="dxa" w:w="100"/>
            </w:tcMar>
          </w:tcPr>
          <w:p>
            <w:pPr>
              <w:spacing w:after="0" w:line="264"/>
            </w:pPr>
            <w:r>
              <w:rPr>
                <w:b/>
                <w:bCs/>
                <w:color w:val="2E5496"/>
                <w:sz w:val="19"/>
                <w:szCs w:val="19"/>
              </w:rPr>
              <w:t xml:space="preserve">Pull · WIP</w:t>
            </w:r>
          </w:p>
        </w:tc>
        <w:tc>
          <w:tcPr>
            <w:tcW w:type="dxa" w:w="45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Throttle work to the constraint and real capacity — pull on real demand, and don’t run ahead of the bottleneck.</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Narrative flow &amp; roll-up</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Flow</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One connected story that rolls up without re-authoring is the reporting-layer form of smooth, unbroken flow.</w:t>
            </w:r>
          </w:p>
        </w:tc>
      </w:tr>
      <w:tr>
        <w:tc>
          <w:tcPr>
            <w:tcW w:type="dxa" w:w="2500"/>
            <w:shd w:fill="F2F6FC" w:color="auto" w:val="clear"/>
            <w:tcMar>
              <w:top w:type="dxa" w:w="60"/>
              <w:left w:type="dxa" w:w="100"/>
              <w:bottom w:type="dxa" w:w="60"/>
              <w:right w:type="dxa" w:w="100"/>
            </w:tcMar>
          </w:tcPr>
          <w:p>
            <w:pPr>
              <w:spacing w:after="0" w:line="264"/>
            </w:pPr>
            <w:r>
              <w:rPr>
                <w:b/>
                <w:bCs/>
                <w:color w:val="1F3864"/>
                <w:sz w:val="19"/>
                <w:szCs w:val="19"/>
              </w:rPr>
              <w:t xml:space="preserve">Willingness to stop</w:t>
            </w:r>
          </w:p>
        </w:tc>
        <w:tc>
          <w:tcPr>
            <w:tcW w:type="dxa" w:w="2300"/>
            <w:shd w:fill="F2F6FC" w:color="auto" w:val="clear"/>
            <w:tcMar>
              <w:top w:type="dxa" w:w="60"/>
              <w:left w:type="dxa" w:w="100"/>
              <w:bottom w:type="dxa" w:w="60"/>
              <w:right w:type="dxa" w:w="100"/>
            </w:tcMar>
          </w:tcPr>
          <w:p>
            <w:pPr>
              <w:spacing w:after="0" w:line="264"/>
            </w:pPr>
            <w:r>
              <w:rPr>
                <w:b/>
                <w:bCs/>
                <w:color w:val="2E5496"/>
                <w:sz w:val="19"/>
                <w:szCs w:val="19"/>
              </w:rPr>
              <w:t xml:space="preserve">Metrics · fund/hold/stop</w:t>
            </w:r>
          </w:p>
        </w:tc>
        <w:tc>
          <w:tcPr>
            <w:tcW w:type="dxa" w:w="45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Decide continuation on current evidence, not sunk cost — SSLM’s assurance re-test is VSPM’s “is spend buying flow?”</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Right-size governance</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Waste</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Adding a governance block only on a real trigger is direct waste elimination — stripping unnecessary approvals and hand-offs.</w:t>
            </w:r>
          </w:p>
        </w:tc>
      </w:tr>
      <w:tr>
        <w:tc>
          <w:tcPr>
            <w:tcW w:type="dxa" w:w="2500"/>
            <w:shd w:fill="F2F6FC" w:color="auto" w:val="clear"/>
            <w:tcMar>
              <w:top w:type="dxa" w:w="60"/>
              <w:left w:type="dxa" w:w="100"/>
              <w:bottom w:type="dxa" w:w="60"/>
              <w:right w:type="dxa" w:w="100"/>
            </w:tcMar>
          </w:tcPr>
          <w:p>
            <w:pPr>
              <w:spacing w:after="0" w:line="264"/>
            </w:pPr>
            <w:r>
              <w:rPr>
                <w:b/>
                <w:bCs/>
                <w:color w:val="1F3864"/>
                <w:sz w:val="19"/>
                <w:szCs w:val="19"/>
              </w:rPr>
              <w:t xml:space="preserve">Compose from standard blocks</w:t>
            </w:r>
          </w:p>
        </w:tc>
        <w:tc>
          <w:tcPr>
            <w:tcW w:type="dxa" w:w="2300"/>
            <w:shd w:fill="F2F6FC" w:color="auto" w:val="clear"/>
            <w:tcMar>
              <w:top w:type="dxa" w:w="60"/>
              <w:left w:type="dxa" w:w="100"/>
              <w:bottom w:type="dxa" w:w="60"/>
              <w:right w:type="dxa" w:w="100"/>
            </w:tcMar>
          </w:tcPr>
          <w:p>
            <w:pPr>
              <w:spacing w:after="0" w:line="264"/>
            </w:pPr>
            <w:r>
              <w:rPr>
                <w:b/>
                <w:bCs/>
                <w:color w:val="2E5496"/>
                <w:sz w:val="19"/>
                <w:szCs w:val="19"/>
              </w:rPr>
              <w:t xml:space="preserve">Continuous improvement · Waste</w:t>
            </w:r>
          </w:p>
        </w:tc>
        <w:tc>
          <w:tcPr>
            <w:tcW w:type="dxa" w:w="45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Reusing a standard block removes re-invention rework; the maintained master block is the baseline Kaizen improves against.</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Access over ownership</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Waste · Flow</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Rent, contract and automate over hire and build — cutting the waste of idle owned capacity, a pull-style response to real need.</w:t>
            </w:r>
          </w:p>
        </w:tc>
      </w:tr>
      <w:tr>
        <w:tc>
          <w:tcPr>
            <w:tcW w:type="dxa" w:w="2500"/>
            <w:shd w:fill="F2F6FC" w:color="auto" w:val="clear"/>
            <w:tcMar>
              <w:top w:type="dxa" w:w="60"/>
              <w:left w:type="dxa" w:w="100"/>
              <w:bottom w:type="dxa" w:w="60"/>
              <w:right w:type="dxa" w:w="100"/>
            </w:tcMar>
          </w:tcPr>
          <w:p>
            <w:pPr>
              <w:spacing w:after="0" w:line="264"/>
            </w:pPr>
            <w:r>
              <w:rPr>
                <w:b/>
                <w:bCs/>
                <w:color w:val="1F3864"/>
                <w:sz w:val="19"/>
                <w:szCs w:val="19"/>
              </w:rPr>
              <w:t xml:space="preserve">Learn and improve</w:t>
            </w:r>
          </w:p>
        </w:tc>
        <w:tc>
          <w:tcPr>
            <w:tcW w:type="dxa" w:w="2300"/>
            <w:shd w:fill="F2F6FC" w:color="auto" w:val="clear"/>
            <w:tcMar>
              <w:top w:type="dxa" w:w="60"/>
              <w:left w:type="dxa" w:w="100"/>
              <w:bottom w:type="dxa" w:w="60"/>
              <w:right w:type="dxa" w:w="100"/>
            </w:tcMar>
          </w:tcPr>
          <w:p>
            <w:pPr>
              <w:spacing w:after="0" w:line="264"/>
            </w:pPr>
            <w:r>
              <w:rPr>
                <w:b/>
                <w:bCs/>
                <w:color w:val="2E5496"/>
                <w:sz w:val="19"/>
                <w:szCs w:val="19"/>
              </w:rPr>
              <w:t xml:space="preserve">Continuous improvement (Kaizen)</w:t>
            </w:r>
          </w:p>
        </w:tc>
        <w:tc>
          <w:tcPr>
            <w:tcW w:type="dxa" w:w="45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Kaizen by name: small, regular refinement with lessons fed back so the next cycle inherits the fix.</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Capable to deliver</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People &amp; teams</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Staff to the skills the work genuinely needs — SSLM’s proven-capability mix mirrors VSPM’s cross-functional stream team.</w:t>
            </w:r>
          </w:p>
        </w:tc>
      </w:tr>
      <w:tr>
        <w:tc>
          <w:tcPr>
            <w:tcW w:type="dxa" w:w="2500"/>
            <w:shd w:fill="F2F6FC" w:color="auto" w:val="clear"/>
            <w:tcMar>
              <w:top w:type="dxa" w:w="60"/>
              <w:left w:type="dxa" w:w="100"/>
              <w:bottom w:type="dxa" w:w="60"/>
              <w:right w:type="dxa" w:w="100"/>
            </w:tcMar>
          </w:tcPr>
          <w:p>
            <w:pPr>
              <w:spacing w:after="0" w:line="264"/>
            </w:pPr>
            <w:r>
              <w:rPr>
                <w:b/>
                <w:bCs/>
                <w:color w:val="1F3864"/>
                <w:sz w:val="19"/>
                <w:szCs w:val="19"/>
              </w:rPr>
              <w:t xml:space="preserve">Design — Simple Solution</w:t>
            </w:r>
          </w:p>
        </w:tc>
        <w:tc>
          <w:tcPr>
            <w:tcW w:type="dxa" w:w="2300"/>
            <w:shd w:fill="F2F6FC" w:color="auto" w:val="clear"/>
            <w:tcMar>
              <w:top w:type="dxa" w:w="60"/>
              <w:left w:type="dxa" w:w="100"/>
              <w:bottom w:type="dxa" w:w="60"/>
              <w:right w:type="dxa" w:w="100"/>
            </w:tcMar>
          </w:tcPr>
          <w:p>
            <w:pPr>
              <w:spacing w:after="0" w:line="264"/>
            </w:pPr>
            <w:r>
              <w:rPr>
                <w:b/>
                <w:bCs/>
                <w:color w:val="2E5496"/>
                <w:sz w:val="19"/>
                <w:szCs w:val="19"/>
              </w:rPr>
              <w:t xml:space="preserve">Waste · Pull · Value</w:t>
            </w:r>
          </w:p>
        </w:tc>
        <w:tc>
          <w:tcPr>
            <w:tcW w:type="dxa" w:w="45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Buy over build, configure over customise, add on demand — Lean waste reduction and pull applied to the solution itself.</w:t>
            </w:r>
          </w:p>
        </w:tc>
      </w:tr>
      <w:tr>
        <w:tc>
          <w:tcPr>
            <w:tcW w:type="dxa" w:w="2500"/>
            <w:shd w:fill="FFFFFF" w:color="auto" w:val="clear"/>
            <w:tcMar>
              <w:top w:type="dxa" w:w="60"/>
              <w:left w:type="dxa" w:w="100"/>
              <w:bottom w:type="dxa" w:w="60"/>
              <w:right w:type="dxa" w:w="100"/>
            </w:tcMar>
          </w:tcPr>
          <w:p>
            <w:pPr>
              <w:spacing w:after="0" w:line="264"/>
            </w:pPr>
            <w:r>
              <w:rPr>
                <w:b/>
                <w:bCs/>
                <w:color w:val="1F3864"/>
                <w:sz w:val="19"/>
                <w:szCs w:val="19"/>
              </w:rPr>
              <w:t xml:space="preserve">Design — Low Maintenance</w:t>
            </w:r>
          </w:p>
        </w:tc>
        <w:tc>
          <w:tcPr>
            <w:tcW w:type="dxa" w:w="2300"/>
            <w:shd w:fill="FFFFFF" w:color="auto" w:val="clear"/>
            <w:tcMar>
              <w:top w:type="dxa" w:w="60"/>
              <w:left w:type="dxa" w:w="100"/>
              <w:bottom w:type="dxa" w:w="60"/>
              <w:right w:type="dxa" w:w="100"/>
            </w:tcMar>
          </w:tcPr>
          <w:p>
            <w:pPr>
              <w:spacing w:after="0" w:line="264"/>
            </w:pPr>
            <w:r>
              <w:rPr>
                <w:b/>
                <w:bCs/>
                <w:color w:val="2E5496"/>
                <w:sz w:val="19"/>
                <w:szCs w:val="19"/>
              </w:rPr>
              <w:t xml:space="preserve">Waste · Metrics</w:t>
            </w:r>
          </w:p>
        </w:tc>
        <w:tc>
          <w:tcPr>
            <w:tcW w:type="dxa" w:w="45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Minimal operational footprint, automate, whole-life cost over upfront cost — waste removal that continues long after go-live.</w:t>
            </w:r>
          </w:p>
        </w:tc>
      </w:tr>
    </w:tbl>
    <w:p>
      <w:pPr>
        <w:pStyle w:val="Heading1"/>
        <w:spacing w:after="110" w:before="260"/>
      </w:pPr>
      <w:r>
        <w:rPr>
          <w:color w:val="1F3864"/>
        </w:rPr>
        <w:t xml:space="preserve">3. How the practices work together</w:t>
      </w:r>
    </w:p>
    <w:p>
      <w:pPr>
        <w:spacing w:after="140" w:line="276"/>
      </w:pPr>
      <w:r>
        <w:t xml:space="preserve">SSLM’s documents become the governance skin over the stream — each one points at a VSPM component without disturbing the flow beneath it.</w:t>
      </w:r>
    </w:p>
    <w:tbl>
      <w:tblPr>
        <w:tblW w:type="dxa" w:w="9360"/>
        <w:tblBorders>
          <w:top w:val="single" w:color="D9E2F3" w:sz="2"/>
          <w:left w:val="none"/>
          <w:bottom w:val="single" w:color="D9E2F3" w:sz="2"/>
          <w:right w:val="none"/>
          <w:insideH w:val="single" w:color="D9E2F3" w:sz="2"/>
          <w:insideV w:val="none"/>
        </w:tblBorders>
      </w:tblPr>
      <w:tblGrid>
        <w:gridCol w:w="2350"/>
        <w:gridCol w:w="4000"/>
        <w:gridCol w:w="3010"/>
      </w:tblGrid>
      <w:tr>
        <w:trPr>
          <w:tblHeader/>
        </w:trPr>
        <w:tc>
          <w:tcPr>
            <w:tcW w:type="dxa" w:w="2350"/>
            <w:shd w:fill="1F3864" w:color="auto" w:val="clear"/>
            <w:tcMar>
              <w:top w:type="dxa" w:w="60"/>
              <w:left w:type="dxa" w:w="100"/>
              <w:bottom w:type="dxa" w:w="60"/>
              <w:right w:type="dxa" w:w="100"/>
            </w:tcMar>
          </w:tcPr>
          <w:p>
            <w:r>
              <w:rPr>
                <w:b/>
                <w:bCs/>
                <w:color w:val="FFFFFF"/>
                <w:sz w:val="17"/>
                <w:szCs w:val="17"/>
              </w:rPr>
              <w:t xml:space="preserve">SSLM instrument</w:t>
            </w:r>
          </w:p>
        </w:tc>
        <w:tc>
          <w:tcPr>
            <w:tcW w:type="dxa" w:w="4000"/>
            <w:shd w:fill="1F3864" w:color="auto" w:val="clear"/>
            <w:tcMar>
              <w:top w:type="dxa" w:w="60"/>
              <w:left w:type="dxa" w:w="100"/>
              <w:bottom w:type="dxa" w:w="60"/>
              <w:right w:type="dxa" w:w="100"/>
            </w:tcMar>
          </w:tcPr>
          <w:p>
            <w:r>
              <w:rPr>
                <w:b/>
                <w:bCs/>
                <w:color w:val="FFFFFF"/>
                <w:sz w:val="17"/>
                <w:szCs w:val="17"/>
              </w:rPr>
              <w:t xml:space="preserve">What it does</w:t>
            </w:r>
          </w:p>
        </w:tc>
        <w:tc>
          <w:tcPr>
            <w:tcW w:type="dxa" w:w="3010"/>
            <w:shd w:fill="1F3864" w:color="auto" w:val="clear"/>
            <w:tcMar>
              <w:top w:type="dxa" w:w="60"/>
              <w:left w:type="dxa" w:w="100"/>
              <w:bottom w:type="dxa" w:w="60"/>
              <w:right w:type="dxa" w:w="100"/>
            </w:tcMar>
          </w:tcPr>
          <w:p>
            <w:r>
              <w:rPr>
                <w:b/>
                <w:bCs/>
                <w:color w:val="FFFFFF"/>
                <w:sz w:val="17"/>
                <w:szCs w:val="17"/>
              </w:rPr>
              <w:t xml:space="preserve">VSPM component it governs</w:t>
            </w:r>
          </w:p>
        </w:tc>
      </w:tr>
      <w:tr>
        <w:tc>
          <w:tcPr>
            <w:tcW w:type="dxa" w:w="2350"/>
            <w:shd w:fill="FFFFFF" w:color="auto" w:val="clear"/>
            <w:tcMar>
              <w:top w:type="dxa" w:w="60"/>
              <w:left w:type="dxa" w:w="100"/>
              <w:bottom w:type="dxa" w:w="60"/>
              <w:right w:type="dxa" w:w="100"/>
            </w:tcMar>
          </w:tcPr>
          <w:p>
            <w:pPr>
              <w:spacing w:after="0" w:line="264"/>
            </w:pPr>
            <w:r>
              <w:rPr>
                <w:b/>
                <w:bCs/>
                <w:color w:val="1F3864"/>
                <w:sz w:val="19"/>
                <w:szCs w:val="19"/>
              </w:rPr>
              <w:t xml:space="preserve">Executive Stream One-Pager</w:t>
            </w:r>
          </w:p>
        </w:tc>
        <w:tc>
          <w:tcPr>
            <w:tcW w:type="dxa" w:w="400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One page per stream — Alignment, Confidence, Constraint, Value, Investment — derived from the weekly flow once per cycle, never re-authored.</w:t>
            </w:r>
          </w:p>
        </w:tc>
        <w:tc>
          <w:tcPr>
            <w:tcW w:type="dxa" w:w="3010"/>
            <w:shd w:fill="FFFFFF" w:color="auto" w:val="clear"/>
            <w:tcMar>
              <w:top w:type="dxa" w:w="60"/>
              <w:left w:type="dxa" w:w="100"/>
              <w:bottom w:type="dxa" w:w="60"/>
              <w:right w:type="dxa" w:w="100"/>
            </w:tcMar>
          </w:tcPr>
          <w:p>
            <w:pPr>
              <w:spacing w:after="0" w:line="264"/>
            </w:pPr>
            <w:r>
              <w:rPr>
                <w:b/>
                <w:bCs/>
                <w:color w:val="2E5496"/>
                <w:sz w:val="19"/>
                <w:szCs w:val="19"/>
              </w:rPr>
              <w:t xml:space="preserve">The stream &amp; its metrics, as a board-ready view</w:t>
            </w:r>
          </w:p>
        </w:tc>
      </w:tr>
      <w:tr>
        <w:tc>
          <w:tcPr>
            <w:tcW w:type="dxa" w:w="2350"/>
            <w:shd w:fill="F2F6FC" w:color="auto" w:val="clear"/>
            <w:tcMar>
              <w:top w:type="dxa" w:w="60"/>
              <w:left w:type="dxa" w:w="100"/>
              <w:bottom w:type="dxa" w:w="60"/>
              <w:right w:type="dxa" w:w="100"/>
            </w:tcMar>
          </w:tcPr>
          <w:p>
            <w:pPr>
              <w:spacing w:after="0" w:line="264"/>
            </w:pPr>
            <w:r>
              <w:rPr>
                <w:b/>
                <w:bCs/>
                <w:color w:val="1F3864"/>
                <w:sz w:val="19"/>
                <w:szCs w:val="19"/>
              </w:rPr>
              <w:t xml:space="preserve">The altitude break</w:t>
            </w:r>
          </w:p>
        </w:tc>
        <w:tc>
          <w:tcPr>
            <w:tcW w:type="dxa" w:w="400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A hard line: the team works in flow below it; the board sees only what those signals mean above it. Nothing team-level crosses raw.</w:t>
            </w:r>
          </w:p>
        </w:tc>
        <w:tc>
          <w:tcPr>
            <w:tcW w:type="dxa" w:w="3010"/>
            <w:shd w:fill="F2F6FC" w:color="auto" w:val="clear"/>
            <w:tcMar>
              <w:top w:type="dxa" w:w="60"/>
              <w:left w:type="dxa" w:w="100"/>
              <w:bottom w:type="dxa" w:w="60"/>
              <w:right w:type="dxa" w:w="100"/>
            </w:tcMar>
          </w:tcPr>
          <w:p>
            <w:pPr>
              <w:spacing w:after="0" w:line="264"/>
            </w:pPr>
            <w:r>
              <w:rPr>
                <w:b/>
                <w:bCs/>
                <w:color w:val="2E5496"/>
                <w:sz w:val="19"/>
                <w:szCs w:val="19"/>
              </w:rPr>
              <w:t xml:space="preserve">Protects Flow &amp; WIP; separates telemetry from governance</w:t>
            </w:r>
          </w:p>
        </w:tc>
      </w:tr>
      <w:tr>
        <w:tc>
          <w:tcPr>
            <w:tcW w:type="dxa" w:w="2350"/>
            <w:shd w:fill="FFFFFF" w:color="auto" w:val="clear"/>
            <w:tcMar>
              <w:top w:type="dxa" w:w="60"/>
              <w:left w:type="dxa" w:w="100"/>
              <w:bottom w:type="dxa" w:w="60"/>
              <w:right w:type="dxa" w:w="100"/>
            </w:tcMar>
          </w:tcPr>
          <w:p>
            <w:pPr>
              <w:spacing w:after="0" w:line="264"/>
            </w:pPr>
            <w:r>
              <w:rPr>
                <w:b/>
                <w:bCs/>
                <w:color w:val="1F3864"/>
                <w:sz w:val="19"/>
                <w:szCs w:val="19"/>
              </w:rPr>
              <w:t xml:space="preserve">Flow-to-Executive Translation</w:t>
            </w:r>
          </w:p>
        </w:tc>
        <w:tc>
          <w:tcPr>
            <w:tcW w:type="dxa" w:w="400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Converts flow telemetry into the five elements, one line of evidence each, with an integrity check.</w:t>
            </w:r>
          </w:p>
        </w:tc>
        <w:tc>
          <w:tcPr>
            <w:tcW w:type="dxa" w:w="3010"/>
            <w:shd w:fill="FFFFFF" w:color="auto" w:val="clear"/>
            <w:tcMar>
              <w:top w:type="dxa" w:w="60"/>
              <w:left w:type="dxa" w:w="100"/>
              <w:bottom w:type="dxa" w:w="60"/>
              <w:right w:type="dxa" w:w="100"/>
            </w:tcMar>
          </w:tcPr>
          <w:p>
            <w:pPr>
              <w:spacing w:after="0" w:line="264"/>
            </w:pPr>
            <w:r>
              <w:rPr>
                <w:b/>
                <w:bCs/>
                <w:color w:val="2E5496"/>
                <w:sz w:val="19"/>
                <w:szCs w:val="19"/>
              </w:rPr>
              <w:t xml:space="preserve">Metrics &amp; Value → decision language; keeps streams comparable</w:t>
            </w:r>
          </w:p>
        </w:tc>
      </w:tr>
      <w:tr>
        <w:tc>
          <w:tcPr>
            <w:tcW w:type="dxa" w:w="2350"/>
            <w:shd w:fill="F2F6FC" w:color="auto" w:val="clear"/>
            <w:tcMar>
              <w:top w:type="dxa" w:w="60"/>
              <w:left w:type="dxa" w:w="100"/>
              <w:bottom w:type="dxa" w:w="60"/>
              <w:right w:type="dxa" w:w="100"/>
            </w:tcMar>
          </w:tcPr>
          <w:p>
            <w:pPr>
              <w:spacing w:after="0" w:line="264"/>
            </w:pPr>
            <w:r>
              <w:rPr>
                <w:b/>
                <w:bCs/>
                <w:color w:val="1F3864"/>
                <w:sz w:val="19"/>
                <w:szCs w:val="19"/>
              </w:rPr>
              <w:t xml:space="preserve">RAID — Dependencies &amp; Constraints</w:t>
            </w:r>
          </w:p>
        </w:tc>
        <w:tc>
          <w:tcPr>
            <w:tcW w:type="dxa" w:w="400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A shared cross-stream view of dependencies, and the single limiting constraint.</w:t>
            </w:r>
          </w:p>
        </w:tc>
        <w:tc>
          <w:tcPr>
            <w:tcW w:type="dxa" w:w="3010"/>
            <w:shd w:fill="F2F6FC" w:color="auto" w:val="clear"/>
            <w:tcMar>
              <w:top w:type="dxa" w:w="60"/>
              <w:left w:type="dxa" w:w="100"/>
              <w:bottom w:type="dxa" w:w="60"/>
              <w:right w:type="dxa" w:w="100"/>
            </w:tcMar>
          </w:tcPr>
          <w:p>
            <w:pPr>
              <w:spacing w:after="0" w:line="264"/>
            </w:pPr>
            <w:r>
              <w:rPr>
                <w:b/>
                <w:bCs/>
                <w:color w:val="2E5496"/>
                <w:sz w:val="19"/>
                <w:szCs w:val="19"/>
              </w:rPr>
              <w:t xml:space="preserve">Waste / bottlenecks; the Constraint element</w:t>
            </w:r>
          </w:p>
        </w:tc>
      </w:tr>
      <w:tr>
        <w:tc>
          <w:tcPr>
            <w:tcW w:type="dxa" w:w="2350"/>
            <w:shd w:fill="FFFFFF" w:color="auto" w:val="clear"/>
            <w:tcMar>
              <w:top w:type="dxa" w:w="60"/>
              <w:left w:type="dxa" w:w="100"/>
              <w:bottom w:type="dxa" w:w="60"/>
              <w:right w:type="dxa" w:w="100"/>
            </w:tcMar>
          </w:tcPr>
          <w:p>
            <w:pPr>
              <w:spacing w:after="0" w:line="264"/>
            </w:pPr>
            <w:r>
              <w:rPr>
                <w:b/>
                <w:bCs/>
                <w:color w:val="1F3864"/>
                <w:sz w:val="19"/>
                <w:szCs w:val="19"/>
              </w:rPr>
              <w:t xml:space="preserve">PTIP</w:t>
            </w:r>
          </w:p>
        </w:tc>
        <w:tc>
          <w:tcPr>
            <w:tcW w:type="dxa" w:w="400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Sequences and funds streams against strategic objectives at portfolio scale.</w:t>
            </w:r>
          </w:p>
        </w:tc>
        <w:tc>
          <w:tcPr>
            <w:tcW w:type="dxa" w:w="3010"/>
            <w:shd w:fill="FFFFFF" w:color="auto" w:val="clear"/>
            <w:tcMar>
              <w:top w:type="dxa" w:w="60"/>
              <w:left w:type="dxa" w:w="100"/>
              <w:bottom w:type="dxa" w:w="60"/>
              <w:right w:type="dxa" w:w="100"/>
            </w:tcMar>
          </w:tcPr>
          <w:p>
            <w:pPr>
              <w:spacing w:after="0" w:line="264"/>
            </w:pPr>
            <w:r>
              <w:rPr>
                <w:b/>
                <w:bCs/>
                <w:color w:val="2E5496"/>
                <w:sz w:val="19"/>
                <w:szCs w:val="19"/>
              </w:rPr>
              <w:t xml:space="preserve">Value &amp; Pull (Investment, Alignment)</w:t>
            </w:r>
          </w:p>
        </w:tc>
      </w:tr>
      <w:tr>
        <w:tc>
          <w:tcPr>
            <w:tcW w:type="dxa" w:w="2350"/>
            <w:shd w:fill="F2F6FC" w:color="auto" w:val="clear"/>
            <w:tcMar>
              <w:top w:type="dxa" w:w="60"/>
              <w:left w:type="dxa" w:w="100"/>
              <w:bottom w:type="dxa" w:w="60"/>
              <w:right w:type="dxa" w:w="100"/>
            </w:tcMar>
          </w:tcPr>
          <w:p>
            <w:pPr>
              <w:spacing w:after="0" w:line="264"/>
            </w:pPr>
            <w:r>
              <w:rPr>
                <w:b/>
                <w:bCs/>
                <w:color w:val="1F3864"/>
                <w:sz w:val="19"/>
                <w:szCs w:val="19"/>
              </w:rPr>
              <w:t xml:space="preserve">Business Case + Benefit Register</w:t>
            </w:r>
          </w:p>
        </w:tc>
        <w:tc>
          <w:tcPr>
            <w:tcW w:type="dxa" w:w="400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Baselines benefits and re-checks them at their horizon — cashable vs notional.</w:t>
            </w:r>
          </w:p>
        </w:tc>
        <w:tc>
          <w:tcPr>
            <w:tcW w:type="dxa" w:w="3010"/>
            <w:shd w:fill="F2F6FC" w:color="auto" w:val="clear"/>
            <w:tcMar>
              <w:top w:type="dxa" w:w="60"/>
              <w:left w:type="dxa" w:w="100"/>
              <w:bottom w:type="dxa" w:w="60"/>
              <w:right w:type="dxa" w:w="100"/>
            </w:tcMar>
          </w:tcPr>
          <w:p>
            <w:pPr>
              <w:spacing w:after="0" w:line="264"/>
            </w:pPr>
            <w:r>
              <w:rPr>
                <w:b/>
                <w:bCs/>
                <w:color w:val="2E5496"/>
                <w:sz w:val="19"/>
                <w:szCs w:val="19"/>
              </w:rPr>
              <w:t xml:space="preserve">Value — confirms released capability lands</w:t>
            </w:r>
          </w:p>
        </w:tc>
      </w:tr>
      <w:tr>
        <w:tc>
          <w:tcPr>
            <w:tcW w:type="dxa" w:w="2350"/>
            <w:shd w:fill="FFFFFF" w:color="auto" w:val="clear"/>
            <w:tcMar>
              <w:top w:type="dxa" w:w="60"/>
              <w:left w:type="dxa" w:w="100"/>
              <w:bottom w:type="dxa" w:w="60"/>
              <w:right w:type="dxa" w:w="100"/>
            </w:tcMar>
          </w:tcPr>
          <w:p>
            <w:pPr>
              <w:spacing w:after="0" w:line="264"/>
            </w:pPr>
            <w:r>
              <w:rPr>
                <w:b/>
                <w:bCs/>
                <w:color w:val="1F3864"/>
                <w:sz w:val="19"/>
                <w:szCs w:val="19"/>
              </w:rPr>
              <w:t xml:space="preserve">Monthly / Board roll-up</w:t>
            </w:r>
          </w:p>
        </w:tc>
        <w:tc>
          <w:tcPr>
            <w:tcW w:type="dxa" w:w="400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Composed from the reports below, never re-written (fractal roll-up).</w:t>
            </w:r>
          </w:p>
        </w:tc>
        <w:tc>
          <w:tcPr>
            <w:tcW w:type="dxa" w:w="3010"/>
            <w:shd w:fill="FFFFFF" w:color="auto" w:val="clear"/>
            <w:tcMar>
              <w:top w:type="dxa" w:w="60"/>
              <w:left w:type="dxa" w:w="100"/>
              <w:bottom w:type="dxa" w:w="60"/>
              <w:right w:type="dxa" w:w="100"/>
            </w:tcMar>
          </w:tcPr>
          <w:p>
            <w:pPr>
              <w:spacing w:after="0" w:line="264"/>
            </w:pPr>
            <w:r>
              <w:rPr>
                <w:b/>
                <w:bCs/>
                <w:color w:val="2E5496"/>
                <w:sz w:val="19"/>
                <w:szCs w:val="19"/>
              </w:rPr>
              <w:t xml:space="preserve">The rolled-up, stream-level view for the board</w:t>
            </w:r>
          </w:p>
        </w:tc>
      </w:tr>
      <w:tr>
        <w:tc>
          <w:tcPr>
            <w:tcW w:type="dxa" w:w="2350"/>
            <w:shd w:fill="F2F6FC" w:color="auto" w:val="clear"/>
            <w:tcMar>
              <w:top w:type="dxa" w:w="60"/>
              <w:left w:type="dxa" w:w="100"/>
              <w:bottom w:type="dxa" w:w="60"/>
              <w:right w:type="dxa" w:w="100"/>
            </w:tcMar>
          </w:tcPr>
          <w:p>
            <w:pPr>
              <w:spacing w:after="0" w:line="264"/>
            </w:pPr>
            <w:r>
              <w:rPr>
                <w:b/>
                <w:bCs/>
                <w:color w:val="1F3864"/>
                <w:sz w:val="19"/>
                <w:szCs w:val="19"/>
              </w:rPr>
              <w:t xml:space="preserve">Project Plan → flow view</w:t>
            </w:r>
          </w:p>
        </w:tc>
        <w:tc>
          <w:tcPr>
            <w:tcW w:type="dxa" w:w="400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A milestone becomes a stream commitment / release; the plan spine becomes a flow view rolled up to stream level.</w:t>
            </w:r>
          </w:p>
        </w:tc>
        <w:tc>
          <w:tcPr>
            <w:tcW w:type="dxa" w:w="3010"/>
            <w:shd w:fill="F2F6FC" w:color="auto" w:val="clear"/>
            <w:tcMar>
              <w:top w:type="dxa" w:w="60"/>
              <w:left w:type="dxa" w:w="100"/>
              <w:bottom w:type="dxa" w:w="60"/>
              <w:right w:type="dxa" w:w="100"/>
            </w:tcMar>
          </w:tcPr>
          <w:p>
            <w:pPr>
              <w:spacing w:after="0" w:line="264"/>
            </w:pPr>
            <w:r>
              <w:rPr>
                <w:b/>
                <w:bCs/>
                <w:color w:val="2E5496"/>
                <w:sz w:val="19"/>
                <w:szCs w:val="19"/>
              </w:rPr>
              <w:t xml:space="preserve">Becomes the Value stream representation itself</w:t>
            </w:r>
          </w:p>
        </w:tc>
      </w:tr>
      <w:tr>
        <w:tc>
          <w:tcPr>
            <w:tcW w:type="dxa" w:w="2350"/>
            <w:shd w:fill="FFFFFF" w:color="auto" w:val="clear"/>
            <w:tcMar>
              <w:top w:type="dxa" w:w="60"/>
              <w:left w:type="dxa" w:w="100"/>
              <w:bottom w:type="dxa" w:w="60"/>
              <w:right w:type="dxa" w:w="100"/>
            </w:tcMar>
          </w:tcPr>
          <w:p>
            <w:pPr>
              <w:spacing w:after="0" w:line="264"/>
            </w:pPr>
            <w:r>
              <w:rPr>
                <w:b/>
                <w:bCs/>
                <w:color w:val="1F3864"/>
                <w:sz w:val="19"/>
                <w:szCs w:val="19"/>
              </w:rPr>
              <w:t xml:space="preserve">Learn &amp; improve</w:t>
            </w:r>
          </w:p>
        </w:tc>
        <w:tc>
          <w:tcPr>
            <w:tcW w:type="dxa" w:w="400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The team runs its own flow retrospective on its native cadence; cross-stream lessons flow to the custodian.</w:t>
            </w:r>
          </w:p>
        </w:tc>
        <w:tc>
          <w:tcPr>
            <w:tcW w:type="dxa" w:w="3010"/>
            <w:shd w:fill="FFFFFF" w:color="auto" w:val="clear"/>
            <w:tcMar>
              <w:top w:type="dxa" w:w="60"/>
              <w:left w:type="dxa" w:w="100"/>
              <w:bottom w:type="dxa" w:w="60"/>
              <w:right w:type="dxa" w:w="100"/>
            </w:tcMar>
          </w:tcPr>
          <w:p>
            <w:pPr>
              <w:spacing w:after="0" w:line="264"/>
            </w:pPr>
            <w:r>
              <w:rPr>
                <w:b/>
                <w:bCs/>
                <w:color w:val="2E5496"/>
                <w:sz w:val="19"/>
                <w:szCs w:val="19"/>
              </w:rPr>
              <w:t xml:space="preserve">Continuous improvement (Kaizen) &amp; People</w:t>
            </w:r>
          </w:p>
        </w:tc>
      </w:tr>
      <w:tr>
        <w:tc>
          <w:tcPr>
            <w:tcW w:type="dxa" w:w="2350"/>
            <w:shd w:fill="F2F6FC" w:color="auto" w:val="clear"/>
            <w:tcMar>
              <w:top w:type="dxa" w:w="60"/>
              <w:left w:type="dxa" w:w="100"/>
              <w:bottom w:type="dxa" w:w="60"/>
              <w:right w:type="dxa" w:w="100"/>
            </w:tcMar>
          </w:tcPr>
          <w:p>
            <w:pPr>
              <w:spacing w:after="0" w:line="264"/>
            </w:pPr>
            <w:r>
              <w:rPr>
                <w:b/>
                <w:bCs/>
                <w:color w:val="1F3864"/>
                <w:sz w:val="19"/>
                <w:szCs w:val="19"/>
              </w:rPr>
              <w:t xml:space="preserve">Assurance / Health-Check</w:t>
            </w:r>
          </w:p>
        </w:tc>
        <w:tc>
          <w:tcPr>
            <w:tcW w:type="dxa" w:w="400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Independently re-tests strategic fit and deliverability each cycle; a low score is a real trigger.</w:t>
            </w:r>
          </w:p>
        </w:tc>
        <w:tc>
          <w:tcPr>
            <w:tcW w:type="dxa" w:w="3010"/>
            <w:shd w:fill="F2F6FC" w:color="auto" w:val="clear"/>
            <w:tcMar>
              <w:top w:type="dxa" w:w="60"/>
              <w:left w:type="dxa" w:w="100"/>
              <w:bottom w:type="dxa" w:w="60"/>
              <w:right w:type="dxa" w:w="100"/>
            </w:tcMar>
          </w:tcPr>
          <w:p>
            <w:pPr>
              <w:spacing w:after="0" w:line="264"/>
            </w:pPr>
            <w:r>
              <w:rPr>
                <w:b/>
                <w:bCs/>
                <w:color w:val="2E5496"/>
                <w:sz w:val="19"/>
                <w:szCs w:val="19"/>
              </w:rPr>
              <w:t xml:space="preserve">The stop/continue discipline a stream lacks on its own</w:t>
            </w:r>
          </w:p>
        </w:tc>
      </w:tr>
    </w:tbl>
    <w:p>
      <w:pPr>
        <w:pStyle w:val="Heading1"/>
        <w:spacing w:after="110" w:before="260"/>
      </w:pPr>
      <w:r>
        <w:rPr>
          <w:color w:val="1F3864"/>
        </w:rPr>
        <w:t xml:space="preserve">4. Who, what, how, when, where &amp; why</w:t>
      </w:r>
    </w:p>
    <w:p>
      <w:pPr>
        <w:spacing w:after="140" w:line="276"/>
      </w:pPr>
      <w:r>
        <w:t xml:space="preserve">The practical detail of running a value stream under SSLM governance.</w:t>
      </w:r>
    </w:p>
    <w:tbl>
      <w:tblPr>
        <w:tblW w:type="dxa" w:w="9360"/>
        <w:tblBorders>
          <w:top w:val="single" w:color="D9E2F3" w:sz="2"/>
          <w:left w:val="none"/>
          <w:bottom w:val="single" w:color="D9E2F3" w:sz="2"/>
          <w:right w:val="none"/>
          <w:insideH w:val="single" w:color="D9E2F3" w:sz="2"/>
          <w:insideV w:val="none"/>
        </w:tblBorders>
      </w:tblPr>
      <w:tblGrid>
        <w:gridCol w:w="2000"/>
        <w:gridCol w:w="7360"/>
      </w:tblGrid>
      <w:tr>
        <w:tc>
          <w:tcPr>
            <w:tcW w:type="dxa" w:w="2000"/>
            <w:shd w:fill="FFFFFF" w:color="auto" w:val="clear"/>
            <w:tcMar>
              <w:top w:type="dxa" w:w="60"/>
              <w:left w:type="dxa" w:w="100"/>
              <w:bottom w:type="dxa" w:w="60"/>
              <w:right w:type="dxa" w:w="100"/>
            </w:tcMar>
          </w:tcPr>
          <w:p>
            <w:pPr>
              <w:spacing w:after="0" w:line="264"/>
            </w:pPr>
            <w:r>
              <w:rPr>
                <w:b/>
                <w:bCs/>
                <w:color w:val="C55A11"/>
                <w:sz w:val="19"/>
                <w:szCs w:val="19"/>
              </w:rPr>
              <w:t xml:space="preserve">WHO</w:t>
            </w:r>
          </w:p>
        </w:tc>
        <w:tc>
          <w:tcPr>
            <w:tcW w:type="dxa" w:w="73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Below the line, the value-stream manager owns the flow end-to-end. Above it, the SteerCo / Board govern, the sponsor funds and clears blockers, and the customer defines value. The PMO / EPMO custodian keeps the standard mapping consistent so streams stay comparable.</w:t>
            </w:r>
          </w:p>
        </w:tc>
      </w:tr>
      <w:tr>
        <w:tc>
          <w:tcPr>
            <w:tcW w:type="dxa" w:w="2000"/>
            <w:shd w:fill="F2F6FC" w:color="auto" w:val="clear"/>
            <w:tcMar>
              <w:top w:type="dxa" w:w="60"/>
              <w:left w:type="dxa" w:w="100"/>
              <w:bottom w:type="dxa" w:w="60"/>
              <w:right w:type="dxa" w:w="100"/>
            </w:tcMar>
          </w:tcPr>
          <w:p>
            <w:pPr>
              <w:spacing w:after="0" w:line="264"/>
            </w:pPr>
            <w:r>
              <w:rPr>
                <w:b/>
                <w:bCs/>
                <w:color w:val="C55A11"/>
                <w:sz w:val="19"/>
                <w:szCs w:val="19"/>
              </w:rPr>
              <w:t xml:space="preserve">WHAT</w:t>
            </w:r>
          </w:p>
        </w:tc>
        <w:tc>
          <w:tcPr>
            <w:tcW w:type="dxa" w:w="73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SSLM governs funding, stop/continue decisions, cross-stream dependencies, board reporting and benefits. The stream owns everything below the line — its own flow, WIP, value-stream mapping, metrics and Kaizen loop.</w:t>
            </w:r>
          </w:p>
        </w:tc>
      </w:tr>
      <w:tr>
        <w:tc>
          <w:tcPr>
            <w:tcW w:type="dxa" w:w="2000"/>
            <w:shd w:fill="FFFFFF" w:color="auto" w:val="clear"/>
            <w:tcMar>
              <w:top w:type="dxa" w:w="60"/>
              <w:left w:type="dxa" w:w="100"/>
              <w:bottom w:type="dxa" w:w="60"/>
              <w:right w:type="dxa" w:w="100"/>
            </w:tcMar>
          </w:tcPr>
          <w:p>
            <w:pPr>
              <w:spacing w:after="0" w:line="264"/>
            </w:pPr>
            <w:r>
              <w:rPr>
                <w:b/>
                <w:bCs/>
                <w:color w:val="C55A11"/>
                <w:sz w:val="19"/>
                <w:szCs w:val="19"/>
              </w:rPr>
              <w:t xml:space="preserve">HOW</w:t>
            </w:r>
          </w:p>
        </w:tc>
        <w:tc>
          <w:tcPr>
            <w:tcW w:type="dxa" w:w="73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The manager derives the Executive Stream One-Pager from the weekly flow once per cycle, never re-authored. Every element traces to a real flow signal; an amber that’s really red is reported red. Nothing team-level crosses the altitude break raw.</w:t>
            </w:r>
          </w:p>
        </w:tc>
      </w:tr>
      <w:tr>
        <w:tc>
          <w:tcPr>
            <w:tcW w:type="dxa" w:w="2000"/>
            <w:shd w:fill="F2F6FC" w:color="auto" w:val="clear"/>
            <w:tcMar>
              <w:top w:type="dxa" w:w="60"/>
              <w:left w:type="dxa" w:w="100"/>
              <w:bottom w:type="dxa" w:w="60"/>
              <w:right w:type="dxa" w:w="100"/>
            </w:tcMar>
          </w:tcPr>
          <w:p>
            <w:pPr>
              <w:spacing w:after="0" w:line="264"/>
            </w:pPr>
            <w:r>
              <w:rPr>
                <w:b/>
                <w:bCs/>
                <w:color w:val="C55A11"/>
                <w:sz w:val="19"/>
                <w:szCs w:val="19"/>
              </w:rPr>
              <w:t xml:space="preserve">WHEN</w:t>
            </w:r>
          </w:p>
        </w:tc>
        <w:tc>
          <w:tcPr>
            <w:tcW w:type="dxa" w:w="73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Picked up under Principle 8 (Right-size governance) only when work becomes continuous flow governed above team level — the Tier 3–4 threshold. Never pre-emptively; “it felt like time” is not a trigger.</w:t>
            </w:r>
          </w:p>
        </w:tc>
      </w:tr>
      <w:tr>
        <w:tc>
          <w:tcPr>
            <w:tcW w:type="dxa" w:w="2000"/>
            <w:shd w:fill="FFFFFF" w:color="auto" w:val="clear"/>
            <w:tcMar>
              <w:top w:type="dxa" w:w="60"/>
              <w:left w:type="dxa" w:w="100"/>
              <w:bottom w:type="dxa" w:w="60"/>
              <w:right w:type="dxa" w:w="100"/>
            </w:tcMar>
          </w:tcPr>
          <w:p>
            <w:pPr>
              <w:spacing w:after="0" w:line="264"/>
            </w:pPr>
            <w:r>
              <w:rPr>
                <w:b/>
                <w:bCs/>
                <w:color w:val="C55A11"/>
                <w:sz w:val="19"/>
                <w:szCs w:val="19"/>
              </w:rPr>
              <w:t xml:space="preserve">WHERE</w:t>
            </w:r>
          </w:p>
        </w:tc>
        <w:tc>
          <w:tcPr>
            <w:tcW w:type="dxa" w:w="73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It lives in the Tier 3–4 Enterprise Extension, above the altitude break. The stream itself runs wherever the delivery teams are, in whatever method they already use — SSLM layers over it, additive not rip-and-replace.</w:t>
            </w:r>
          </w:p>
        </w:tc>
      </w:tr>
      <w:tr>
        <w:tc>
          <w:tcPr>
            <w:tcW w:type="dxa" w:w="2000"/>
            <w:shd w:fill="F2F6FC" w:color="auto" w:val="clear"/>
            <w:tcMar>
              <w:top w:type="dxa" w:w="60"/>
              <w:left w:type="dxa" w:w="100"/>
              <w:bottom w:type="dxa" w:w="60"/>
              <w:right w:type="dxa" w:w="100"/>
            </w:tcMar>
          </w:tcPr>
          <w:p>
            <w:pPr>
              <w:spacing w:after="0" w:line="264"/>
            </w:pPr>
            <w:r>
              <w:rPr>
                <w:b/>
                <w:bCs/>
                <w:color w:val="C55A11"/>
                <w:sz w:val="19"/>
                <w:szCs w:val="19"/>
              </w:rPr>
              <w:t xml:space="preserve">WHY</w:t>
            </w:r>
          </w:p>
        </w:tc>
        <w:tc>
          <w:tcPr>
            <w:tcW w:type="dxa" w:w="73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So the board decides in decision language, streams stay comparable across a portfolio, and the flow below is never disturbed — while supplying the funding discipline and honest stop/continue call a stream on its own lacks.</w:t>
            </w:r>
          </w:p>
        </w:tc>
      </w:tr>
    </w:tbl>
    <w:p>
      <w:pPr>
        <w:pStyle w:val="Heading1"/>
        <w:spacing w:after="110" w:before="260"/>
      </w:pPr>
      <w:r>
        <w:rPr>
          <w:color w:val="1F3864"/>
        </w:rPr>
        <w:t xml:space="preserve">5. What each brings to the other</w:t>
      </w:r>
    </w:p>
    <w:p>
      <w:pPr>
        <w:spacing w:after="60" w:line="276"/>
      </w:pPr>
      <w:r>
        <w:rPr>
          <w:b/>
          <w:bCs/>
          <w:color w:val="1F3864"/>
        </w:rPr>
        <w:t xml:space="preserve">What SSLM adds to a value stream </w:t>
      </w:r>
      <w:r>
        <w:t xml:space="preserve">(governance the VSPM primer does not cover):</w:t>
      </w:r>
    </w:p>
    <w:p>
      <w:pPr>
        <w:pStyle w:val="ListParagraph"/>
        <w:numPr>
          <w:ilvl w:val="0"/>
          <w:numId w:val="1"/>
        </w:numPr>
        <w:spacing w:after="80" w:line="270"/>
      </w:pPr>
      <w:r>
        <w:rPr>
          <w:b/>
          <w:bCs/>
          <w:color w:val="1F3864"/>
        </w:rPr>
        <w:t xml:space="preserve">Funding &amp; stop decisions </w:t>
      </w:r>
      <w:r>
        <w:t xml:space="preserve">— the PTIP funds against strategy; Willingness to stop forces an honest reassess on assurance evidence, sunk cost discounted.</w:t>
      </w:r>
    </w:p>
    <w:p>
      <w:pPr>
        <w:pStyle w:val="ListParagraph"/>
        <w:numPr>
          <w:ilvl w:val="0"/>
          <w:numId w:val="1"/>
        </w:numPr>
        <w:spacing w:after="80" w:line="270"/>
      </w:pPr>
      <w:r>
        <w:rPr>
          <w:b/>
          <w:bCs/>
          <w:color w:val="1F3864"/>
        </w:rPr>
        <w:t xml:space="preserve">Board reporting &amp; the altitude break </w:t>
      </w:r>
      <w:r>
        <w:t xml:space="preserve">— team flow translated into five executive decision elements.</w:t>
      </w:r>
    </w:p>
    <w:p>
      <w:pPr>
        <w:pStyle w:val="ListParagraph"/>
        <w:numPr>
          <w:ilvl w:val="0"/>
          <w:numId w:val="1"/>
        </w:numPr>
        <w:spacing w:after="80" w:line="270"/>
      </w:pPr>
      <w:r>
        <w:rPr>
          <w:b/>
          <w:bCs/>
          <w:color w:val="1F3864"/>
        </w:rPr>
        <w:t xml:space="preserve">Assurance &amp; health-checks </w:t>
      </w:r>
      <w:r>
        <w:t xml:space="preserve">— independent, gated re-tests of governance quality.</w:t>
      </w:r>
    </w:p>
    <w:p>
      <w:pPr>
        <w:pStyle w:val="ListParagraph"/>
        <w:numPr>
          <w:ilvl w:val="0"/>
          <w:numId w:val="1"/>
        </w:numPr>
        <w:spacing w:after="80" w:line="270"/>
      </w:pPr>
      <w:r>
        <w:rPr>
          <w:b/>
          <w:bCs/>
          <w:color w:val="1F3864"/>
        </w:rPr>
        <w:t xml:space="preserve">One traceable narrative </w:t>
      </w:r>
      <w:r>
        <w:t xml:space="preserve">— the single Project Reference threads every document for audit, with defined governance forums.</w:t>
      </w:r>
    </w:p>
    <w:p>
      <w:pPr>
        <w:pStyle w:val="ListParagraph"/>
        <w:numPr>
          <w:ilvl w:val="0"/>
          <w:numId w:val="1"/>
        </w:numPr>
        <w:spacing w:after="80" w:line="270"/>
      </w:pPr>
      <w:r>
        <w:rPr>
          <w:b/>
          <w:bCs/>
          <w:color w:val="1F3864"/>
        </w:rPr>
        <w:t xml:space="preserve">Benefits realisation </w:t>
      </w:r>
      <w:r>
        <w:t xml:space="preserve">— baselined before go-live, re-checked at the horizon, aggregated across the portfolio.</w:t>
      </w:r>
    </w:p>
    <w:p>
      <w:pPr>
        <w:spacing w:after="60" w:line="276"/>
      </w:pPr>
      <w:r>
        <w:rPr>
          <w:b/>
          <w:bCs/>
          <w:color w:val="1F3864"/>
        </w:rPr>
        <w:t xml:space="preserve">What a value stream adds to SSLM </w:t>
      </w:r>
      <w:r>
        <w:t xml:space="preserve">(delivery mechanics SSLM’s core does not emphasise):</w:t>
      </w:r>
    </w:p>
    <w:p>
      <w:pPr>
        <w:pStyle w:val="ListParagraph"/>
        <w:numPr>
          <w:ilvl w:val="0"/>
          <w:numId w:val="1"/>
        </w:numPr>
        <w:spacing w:after="80" w:line="270"/>
      </w:pPr>
      <w:r>
        <w:rPr>
          <w:b/>
          <w:bCs/>
          <w:color w:val="1F3864"/>
        </w:rPr>
        <w:t xml:space="preserve">Flow efficiency </w:t>
      </w:r>
      <w:r>
        <w:t xml:space="preserve">— value-adding time as a share of total lead time: one number that quantifies hidden waiting.</w:t>
      </w:r>
    </w:p>
    <w:p>
      <w:pPr>
        <w:pStyle w:val="ListParagraph"/>
        <w:numPr>
          <w:ilvl w:val="0"/>
          <w:numId w:val="1"/>
        </w:numPr>
        <w:spacing w:after="80" w:line="270"/>
      </w:pPr>
      <w:r>
        <w:rPr>
          <w:b/>
          <w:bCs/>
          <w:color w:val="1F3864"/>
        </w:rPr>
        <w:t xml:space="preserve">Pull over push </w:t>
      </w:r>
      <w:r>
        <w:t xml:space="preserve">— starting work only on real demand, not forecast batches.</w:t>
      </w:r>
    </w:p>
    <w:p>
      <w:pPr>
        <w:pStyle w:val="ListParagraph"/>
        <w:numPr>
          <w:ilvl w:val="0"/>
          <w:numId w:val="1"/>
        </w:numPr>
        <w:spacing w:after="80" w:line="270"/>
      </w:pPr>
      <w:r>
        <w:rPr>
          <w:b/>
          <w:bCs/>
          <w:color w:val="1F3864"/>
        </w:rPr>
        <w:t xml:space="preserve">An explicit waste taxonomy </w:t>
      </w:r>
      <w:r>
        <w:t xml:space="preserve">— delays, rework, over-production, unnecessary approvals, excess hand-offs.</w:t>
      </w:r>
    </w:p>
    <w:p>
      <w:pPr>
        <w:pStyle w:val="ListParagraph"/>
        <w:numPr>
          <w:ilvl w:val="0"/>
          <w:numId w:val="1"/>
        </w:numPr>
        <w:spacing w:after="80" w:line="270"/>
      </w:pPr>
      <w:r>
        <w:rPr>
          <w:b/>
          <w:bCs/>
          <w:color w:val="1F3864"/>
        </w:rPr>
        <w:t xml:space="preserve">Value-stream mapping </w:t>
      </w:r>
      <w:r>
        <w:t xml:space="preserve">— a current-state / future-state picture of every real step and its timing.</w:t>
      </w:r>
    </w:p>
    <w:p>
      <w:pPr>
        <w:pStyle w:val="ListParagraph"/>
        <w:numPr>
          <w:ilvl w:val="0"/>
          <w:numId w:val="1"/>
        </w:numPr>
        <w:spacing w:after="80" w:line="270"/>
      </w:pPr>
      <w:r>
        <w:rPr>
          <w:b/>
          <w:bCs/>
          <w:color w:val="1F3864"/>
        </w:rPr>
        <w:t xml:space="preserve">Permanent cross-functional teams &amp; a Kaizen cadence </w:t>
      </w:r>
      <w:r>
        <w:t xml:space="preserve">— long-lived stream ownership that improves forever.</w:t>
      </w:r>
    </w:p>
    <w:p>
      <w:pPr>
        <w:pStyle w:val="Heading1"/>
        <w:spacing w:after="110" w:before="260"/>
      </w:pPr>
      <w:r>
        <w:rPr>
          <w:color w:val="1F3864"/>
        </w:rPr>
        <w:t xml:space="preserve">6. Relationship management: the core skill</w:t>
      </w:r>
    </w:p>
    <w:p>
      <w:pPr>
        <w:spacing w:after="140" w:line="276"/>
      </w:pPr>
      <w:r>
        <w:t xml:space="preserve">A Value Stream Manager — and in truth any SSLM owner — is accountable for outcomes but rarely holds authority over the people who deliver them. SSLM names one accountable owner (Principle 1), yet the staff whose work makes up the stream usually report elsewhere. So the work moves on </w:t>
      </w:r>
      <w:r>
        <w:rPr>
          <w:b/>
          <w:bCs/>
          <w:color w:val="1F3864"/>
        </w:rPr>
        <w:t xml:space="preserve">influence and trust, not command</w:t>
      </w:r>
      <w:r>
        <w:t xml:space="preserve">: authority gets compliance; relationships get the commitment that makes an improvement stick.</w:t>
      </w:r>
    </w:p>
    <w:p>
      <w:pPr>
        <w:spacing w:after="140" w:line="276"/>
      </w:pPr>
      <w:r>
        <w:rPr>
          <w:b/>
          <w:bCs/>
          <w:color w:val="1F3864"/>
        </w:rPr>
        <w:t xml:space="preserve">Why it matters to SSLM. </w:t>
      </w:r>
      <w:r>
        <w:t xml:space="preserve">SSLM's honest roll-up reporting only works if each layer trusts the one below — a board member can trace a red line to its source only because the levels beneath reported straight. SSLM supplies the structure: RACI (who does what), the Stakeholder &amp; Communication Plan (who hears what, how often), the Meeting Playbook (the right people, prepared) and the reporting chain (honest status on a fixed cadence). Relationship management is the human skill that turns that structure from paperwork into commitment — a capability under Principle 13, Capable to deliver.</w:t>
      </w:r>
    </w:p>
    <w:p>
      <w:pPr>
        <w:spacing w:after="140" w:line="276"/>
      </w:pPr>
      <w:r>
        <w:rPr>
          <w:b/>
          <w:bCs/>
          <w:color w:val="1F3864"/>
        </w:rPr>
        <w:t xml:space="preserve">The trust equation. </w:t>
      </w:r>
      <w:r>
        <w:t xml:space="preserve">Advisers describe trust as (Credibility + Reliability + Closeness) ÷ Self-interest. In SSLM terms: credibility is “report the real colour” and evidence-based influence; reliability is keeping the reporting cadence and every small promise; closeness is the safety for people to raise problems early; and low self-interest is “anchor to purpose” — visibly serving the purpose and the customer over territory.</w:t>
      </w:r>
    </w:p>
    <w:tbl>
      <w:tblPr>
        <w:tblW w:type="dxa" w:w="9360"/>
        <w:tblBorders>
          <w:top w:val="single" w:color="D9E2F3" w:sz="2"/>
          <w:left w:val="none"/>
          <w:bottom w:val="single" w:color="D9E2F3" w:sz="2"/>
          <w:right w:val="none"/>
          <w:insideH w:val="single" w:color="D9E2F3" w:sz="2"/>
          <w:insideV w:val="none"/>
        </w:tblBorders>
      </w:tblPr>
      <w:tblGrid>
        <w:gridCol w:w="3200"/>
        <w:gridCol w:w="6160"/>
      </w:tblGrid>
      <w:tr>
        <w:trPr>
          <w:tblHeader/>
        </w:trPr>
        <w:tc>
          <w:tcPr>
            <w:tcW w:type="dxa" w:w="3200"/>
            <w:shd w:fill="1F3864" w:color="auto" w:val="clear"/>
            <w:tcMar>
              <w:top w:type="dxa" w:w="60"/>
              <w:left w:type="dxa" w:w="100"/>
              <w:bottom w:type="dxa" w:w="60"/>
              <w:right w:type="dxa" w:w="100"/>
            </w:tcMar>
          </w:tcPr>
          <w:p>
            <w:r>
              <w:rPr>
                <w:b/>
                <w:bCs/>
                <w:color w:val="FFFFFF"/>
                <w:sz w:val="17"/>
                <w:szCs w:val="17"/>
              </w:rPr>
              <w:t xml:space="preserve">Relationship principle</w:t>
            </w:r>
          </w:p>
        </w:tc>
        <w:tc>
          <w:tcPr>
            <w:tcW w:type="dxa" w:w="6160"/>
            <w:shd w:fill="1F3864" w:color="auto" w:val="clear"/>
            <w:tcMar>
              <w:top w:type="dxa" w:w="60"/>
              <w:left w:type="dxa" w:w="100"/>
              <w:bottom w:type="dxa" w:w="60"/>
              <w:right w:type="dxa" w:w="100"/>
            </w:tcMar>
          </w:tcPr>
          <w:p>
            <w:r>
              <w:rPr>
                <w:b/>
                <w:bCs/>
                <w:color w:val="FFFFFF"/>
                <w:sz w:val="17"/>
                <w:szCs w:val="17"/>
              </w:rPr>
              <w:t xml:space="preserve">Aligns with the SSLM principle</w:t>
            </w:r>
          </w:p>
        </w:tc>
      </w:tr>
      <w:tr>
        <w:tc>
          <w:tcPr>
            <w:tcW w:type="dxa" w:w="3200"/>
            <w:shd w:fill="FFFFFF" w:color="auto" w:val="clear"/>
            <w:tcMar>
              <w:top w:type="dxa" w:w="60"/>
              <w:left w:type="dxa" w:w="100"/>
              <w:bottom w:type="dxa" w:w="60"/>
              <w:right w:type="dxa" w:w="100"/>
            </w:tcMar>
          </w:tcPr>
          <w:p>
            <w:pPr>
              <w:spacing w:after="0" w:line="264"/>
            </w:pPr>
            <w:r>
              <w:rPr>
                <w:b/>
                <w:bCs/>
                <w:color w:val="1F3864"/>
                <w:sz w:val="19"/>
                <w:szCs w:val="19"/>
              </w:rPr>
              <w:t xml:space="preserve">Trust is the foundation</w:t>
            </w:r>
          </w:p>
        </w:tc>
        <w:tc>
          <w:tcPr>
            <w:tcW w:type="dxa" w:w="61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Clear accountability &amp; authority — one owner, rarely full authority, so trust is what moves the work.</w:t>
            </w:r>
          </w:p>
        </w:tc>
      </w:tr>
      <w:tr>
        <w:tc>
          <w:tcPr>
            <w:tcW w:type="dxa" w:w="3200"/>
            <w:shd w:fill="F2F6FC" w:color="auto" w:val="clear"/>
            <w:tcMar>
              <w:top w:type="dxa" w:w="60"/>
              <w:left w:type="dxa" w:w="100"/>
              <w:bottom w:type="dxa" w:w="60"/>
              <w:right w:type="dxa" w:w="100"/>
            </w:tcMar>
          </w:tcPr>
          <w:p>
            <w:pPr>
              <w:spacing w:after="0" w:line="264"/>
            </w:pPr>
            <w:r>
              <w:rPr>
                <w:b/>
                <w:bCs/>
                <w:color w:val="1F3864"/>
                <w:sz w:val="19"/>
                <w:szCs w:val="19"/>
              </w:rPr>
              <w:t xml:space="preserve">Influence without authority</w:t>
            </w:r>
          </w:p>
        </w:tc>
        <w:tc>
          <w:tcPr>
            <w:tcW w:type="dxa" w:w="61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Plan to the critical path — persuade with evidence; the plan is the neutral, factual case.</w:t>
            </w:r>
          </w:p>
        </w:tc>
      </w:tr>
      <w:tr>
        <w:tc>
          <w:tcPr>
            <w:tcW w:type="dxa" w:w="3200"/>
            <w:shd w:fill="FFFFFF" w:color="auto" w:val="clear"/>
            <w:tcMar>
              <w:top w:type="dxa" w:w="60"/>
              <w:left w:type="dxa" w:w="100"/>
              <w:bottom w:type="dxa" w:w="60"/>
              <w:right w:type="dxa" w:w="100"/>
            </w:tcMar>
          </w:tcPr>
          <w:p>
            <w:pPr>
              <w:spacing w:after="0" w:line="264"/>
            </w:pPr>
            <w:r>
              <w:rPr>
                <w:b/>
                <w:bCs/>
                <w:color w:val="1F3864"/>
                <w:sz w:val="19"/>
                <w:szCs w:val="19"/>
              </w:rPr>
              <w:t xml:space="preserve">Be transparent and honest</w:t>
            </w:r>
          </w:p>
        </w:tc>
        <w:tc>
          <w:tcPr>
            <w:tcW w:type="dxa" w:w="61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Report the real colour — the real picture, including bad news.</w:t>
            </w:r>
          </w:p>
        </w:tc>
      </w:tr>
      <w:tr>
        <w:tc>
          <w:tcPr>
            <w:tcW w:type="dxa" w:w="3200"/>
            <w:shd w:fill="F2F6FC" w:color="auto" w:val="clear"/>
            <w:tcMar>
              <w:top w:type="dxa" w:w="60"/>
              <w:left w:type="dxa" w:w="100"/>
              <w:bottom w:type="dxa" w:w="60"/>
              <w:right w:type="dxa" w:w="100"/>
            </w:tcMar>
          </w:tcPr>
          <w:p>
            <w:pPr>
              <w:spacing w:after="0" w:line="264"/>
            </w:pPr>
            <w:r>
              <w:rPr>
                <w:b/>
                <w:bCs/>
                <w:color w:val="1F3864"/>
                <w:sz w:val="19"/>
                <w:szCs w:val="19"/>
              </w:rPr>
              <w:t xml:space="preserve">Reliable, predictable cadence</w:t>
            </w:r>
          </w:p>
        </w:tc>
        <w:tc>
          <w:tcPr>
            <w:tcW w:type="dxa" w:w="61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Narrative flow &amp; roll-up — the single weekly report sets the rhythm relationships ride on.</w:t>
            </w:r>
          </w:p>
        </w:tc>
      </w:tr>
      <w:tr>
        <w:tc>
          <w:tcPr>
            <w:tcW w:type="dxa" w:w="3200"/>
            <w:shd w:fill="FFFFFF" w:color="auto" w:val="clear"/>
            <w:tcMar>
              <w:top w:type="dxa" w:w="60"/>
              <w:left w:type="dxa" w:w="100"/>
              <w:bottom w:type="dxa" w:w="60"/>
              <w:right w:type="dxa" w:w="100"/>
            </w:tcMar>
          </w:tcPr>
          <w:p>
            <w:pPr>
              <w:spacing w:after="0" w:line="264"/>
            </w:pPr>
            <w:r>
              <w:rPr>
                <w:b/>
                <w:bCs/>
                <w:color w:val="1F3864"/>
                <w:sz w:val="19"/>
                <w:szCs w:val="19"/>
              </w:rPr>
              <w:t xml:space="preserve">Manage conflict constructively</w:t>
            </w:r>
          </w:p>
        </w:tc>
        <w:tc>
          <w:tcPr>
            <w:tcW w:type="dxa" w:w="6160"/>
            <w:shd w:fill="FFFFFF" w:color="auto" w:val="clear"/>
            <w:tcMar>
              <w:top w:type="dxa" w:w="60"/>
              <w:left w:type="dxa" w:w="100"/>
              <w:bottom w:type="dxa" w:w="60"/>
              <w:right w:type="dxa" w:w="100"/>
            </w:tcMar>
          </w:tcPr>
          <w:p>
            <w:pPr>
              <w:spacing w:after="0" w:line="264"/>
            </w:pPr>
            <w:r>
              <w:rPr>
                <w:b w:val="false"/>
                <w:bCs w:val="false"/>
                <w:color w:val="222A35"/>
                <w:sz w:val="19"/>
                <w:szCs w:val="19"/>
              </w:rPr>
              <w:t xml:space="preserve">Willingness to stop — surface disagreement early, about the process not the person.</w:t>
            </w:r>
          </w:p>
        </w:tc>
      </w:tr>
      <w:tr>
        <w:tc>
          <w:tcPr>
            <w:tcW w:type="dxa" w:w="3200"/>
            <w:shd w:fill="F2F6FC" w:color="auto" w:val="clear"/>
            <w:tcMar>
              <w:top w:type="dxa" w:w="60"/>
              <w:left w:type="dxa" w:w="100"/>
              <w:bottom w:type="dxa" w:w="60"/>
              <w:right w:type="dxa" w:w="100"/>
            </w:tcMar>
          </w:tcPr>
          <w:p>
            <w:pPr>
              <w:spacing w:after="0" w:line="264"/>
            </w:pPr>
            <w:r>
              <w:rPr>
                <w:b/>
                <w:bCs/>
                <w:color w:val="1F3864"/>
                <w:sz w:val="19"/>
                <w:szCs w:val="19"/>
              </w:rPr>
              <w:t xml:space="preserve">Stay customer-centric</w:t>
            </w:r>
          </w:p>
        </w:tc>
        <w:tc>
          <w:tcPr>
            <w:tcW w:type="dxa" w:w="6160"/>
            <w:shd w:fill="F2F6FC" w:color="auto" w:val="clear"/>
            <w:tcMar>
              <w:top w:type="dxa" w:w="60"/>
              <w:left w:type="dxa" w:w="100"/>
              <w:bottom w:type="dxa" w:w="60"/>
              <w:right w:type="dxa" w:w="100"/>
            </w:tcMar>
          </w:tcPr>
          <w:p>
            <w:pPr>
              <w:spacing w:after="0" w:line="264"/>
            </w:pPr>
            <w:r>
              <w:rPr>
                <w:b w:val="false"/>
                <w:bCs w:val="false"/>
                <w:color w:val="222A35"/>
                <w:sz w:val="19"/>
                <w:szCs w:val="19"/>
              </w:rPr>
              <w:t xml:space="preserve">Anchor to purpose — the customer's value is the neutral goal that outranks turf.</w:t>
            </w:r>
          </w:p>
        </w:tc>
      </w:tr>
    </w:tbl>
    <w:p>
      <w:pPr>
        <w:spacing w:after="140" w:line="276"/>
      </w:pPr>
      <w:r>
        <w:t xml:space="preserve">In short: SSLM tells you who to involve and what to report; relationship management is what converts that structure from compliance into commitment. See the companion reference, “Relationship Management for Value Stream Managers,” for the full skill.</w:t>
      </w:r>
    </w:p>
    <w:p>
      <w:pPr>
        <w:pStyle w:val="Heading1"/>
        <w:spacing w:after="110" w:before="260"/>
      </w:pPr>
      <w:r>
        <w:rPr>
          <w:color w:val="1F3864"/>
        </w:rPr>
        <w:t xml:space="preserve">7. Key takeaways</w:t>
      </w:r>
    </w:p>
    <w:p>
      <w:pPr>
        <w:pStyle w:val="ListParagraph"/>
        <w:numPr>
          <w:ilvl w:val="0"/>
          <w:numId w:val="1"/>
        </w:numPr>
        <w:spacing w:after="80" w:line="270"/>
      </w:pPr>
      <w:r>
        <w:rPr>
          <w:b/>
          <w:bCs/>
          <w:color w:val="1F3864"/>
        </w:rPr>
        <w:t xml:space="preserve">Complementary, not competing. </w:t>
      </w:r>
      <w:r>
        <w:t xml:space="preserve">VSPM runs the flow; SSLM governs, funds and reports it. They meet at the altitude break.</w:t>
      </w:r>
    </w:p>
    <w:p>
      <w:pPr>
        <w:pStyle w:val="ListParagraph"/>
        <w:numPr>
          <w:ilvl w:val="0"/>
          <w:numId w:val="1"/>
        </w:numPr>
        <w:spacing w:after="80" w:line="270"/>
      </w:pPr>
      <w:r>
        <w:rPr>
          <w:b/>
          <w:bCs/>
          <w:color w:val="1F3864"/>
        </w:rPr>
        <w:t xml:space="preserve">Same instinct. </w:t>
      </w:r>
      <w:r>
        <w:t xml:space="preserve">Both remove waste, insist on honest measurement, and serve an externally-defined purpose.</w:t>
      </w:r>
    </w:p>
    <w:p>
      <w:pPr>
        <w:pStyle w:val="ListParagraph"/>
        <w:numPr>
          <w:ilvl w:val="0"/>
          <w:numId w:val="1"/>
        </w:numPr>
        <w:spacing w:after="80" w:line="270"/>
      </w:pPr>
      <w:r>
        <w:rPr>
          <w:b/>
          <w:bCs/>
          <w:color w:val="1F3864"/>
        </w:rPr>
        <w:t xml:space="preserve">Compose, never re-author. </w:t>
      </w:r>
      <w:r>
        <w:t xml:space="preserve">The Executive Stream One-Pager is derived from the weekly flow; every status traces to a real signal.</w:t>
      </w:r>
    </w:p>
    <w:p>
      <w:pPr>
        <w:pStyle w:val="ListParagraph"/>
        <w:numPr>
          <w:ilvl w:val="0"/>
          <w:numId w:val="1"/>
        </w:numPr>
        <w:spacing w:after="80" w:line="270"/>
      </w:pPr>
      <w:r>
        <w:rPr>
          <w:b/>
          <w:bCs/>
          <w:color w:val="1F3864"/>
        </w:rPr>
        <w:t xml:space="preserve">Least-sufficient governance. </w:t>
      </w:r>
      <w:r>
        <w:t xml:space="preserve">Picked up only on a real trigger at Tier 3–4; it never disturbs the flow below.</w:t>
      </w:r>
    </w:p>
    <w:p>
      <w:pPr>
        <w:pBdr>
          <w:top w:val="single" w:color="D9E2F3" w:sz="6" w:space="8"/>
        </w:pBdr>
        <w:spacing w:before="200"/>
      </w:pPr>
      <w:r>
        <w:rPr>
          <w:i/>
          <w:iCs/>
          <w:color w:val="5B6472"/>
          <w:sz w:val="17"/>
          <w:szCs w:val="17"/>
        </w:rPr>
        <w:t xml:space="preserve">Related guides: Flow-to-Executive Translation Guide · Programs &amp; Portfolios Guide · Coexistence with Established Methods · Delivery Methodologies Guide · Relationship Management for Value Stream Managers.  Related template: Executive Stream One-Pager.</w:t>
      </w:r>
    </w:p>
    <w:p>
      <w:pPr>
        <w:spacing w:before="60"/>
      </w:pPr>
      <w:r>
        <w:rPr>
          <w:i/>
          <w:iCs/>
          <w:color w:val="5B6472"/>
          <w:sz w:val="16"/>
          <w:szCs w:val="16"/>
        </w:rPr>
        <w:t xml:space="preserve">This guide is part of the SSLM Enterprise Extension. Illustrative content prepared for the SSLM framework pack.</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A35"/>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5496"/>
      <w:sz w:val="32"/>
      <w:szCs w:val="32"/>
    </w:rPr>
  </w:style>
  <w:style w:type="paragraph" w:styleId="Heading2">
    <w:name w:val="Heading 2"/>
    <w:basedOn w:val="Normal"/>
    <w:next w:val="Normal"/>
    <w:qFormat/>
    <w:rPr>
      <w:color w:val="2E5496"/>
      <w:sz w:val="26"/>
      <w:szCs w:val="26"/>
    </w:rPr>
  </w:style>
  <w:style w:type="paragraph" w:styleId="Heading3">
    <w:name w:val="Heading 3"/>
    <w:basedOn w:val="Normal"/>
    <w:next w:val="Normal"/>
    <w:qFormat/>
    <w:rPr>
      <w:color w:val="1F3864"/>
      <w:sz w:val="24"/>
      <w:szCs w:val="24"/>
    </w:rPr>
  </w:style>
  <w:style w:type="paragraph" w:styleId="Heading4">
    <w:name w:val="Heading 4"/>
    <w:basedOn w:val="Normal"/>
    <w:next w:val="Normal"/>
    <w:qFormat/>
    <w:rPr>
      <w:i/>
      <w:iCs/>
      <w:color w:val="2E5496"/>
    </w:rPr>
  </w:style>
  <w:style w:type="paragraph" w:styleId="Heading5">
    <w:name w:val="Heading 5"/>
    <w:basedOn w:val="Normal"/>
    <w:next w:val="Normal"/>
    <w:qFormat/>
    <w:rPr>
      <w:color w:val="2E5496"/>
    </w:rPr>
  </w:style>
  <w:style w:type="paragraph" w:styleId="Heading6">
    <w:name w:val="Heading 6"/>
    <w:basedOn w:val="Normal"/>
    <w:next w:val="Normal"/>
    <w:qFormat/>
    <w:rPr>
      <w:color w:val="1F3864"/>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2E5496"/>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10" w:before="260"/>
      <w:outlineLvl w:val="0"/>
    </w:pPr>
    <w:rPr>
      <w:b/>
      <w:bCs/>
      <w:color w:val="1F3864"/>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2026-07-22T02:00:27.396Z</dcterms:created>
  <dcterms:modified xsi:type="dcterms:W3CDTF">2026-07-22T02:00:27.396Z</dcterms:modified>
</cp:coreProperties>
</file>

<file path=docProps/custom.xml><?xml version="1.0" encoding="utf-8"?>
<Properties xmlns="http://schemas.openxmlformats.org/officeDocument/2006/custom-properties" xmlns:vt="http://schemas.openxmlformats.org/officeDocument/2006/docPropsVTypes"/>
</file>