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Benefits Realisation &amp; Post Go-Live Tracking Guide</w:t>
      </w:r>
    </w:p>
    <w:p>
      <w:pPr>
        <w:jc w:val="center"/>
      </w:pPr>
      <w:r>
        <w:rPr>
          <w:i/>
          <w:color w:val="595959"/>
          <w:sz w:val="26"/>
        </w:rPr>
        <w:t>Show whether a project delivered the value that justified it</w:t>
      </w:r>
    </w:p>
    <w:p>
      <w:r>
        <w:t>Purpose. Every project is justified by the value it will create. This guide makes that value checkable — without the project chasing benefits for months after it closes. It does this by splitting benefits tracking at handover: the project hands over the means to measure; the business measures the result.</w:t>
      </w:r>
    </w:p>
    <w:p>
      <w:r>
        <w:t>What's inside: how the split at handover works, the benefit line and its fields, how to read benefits back from reporting the business already produces, roles and responsibilities, where this sits in the project lifecycle, and the post-implementation review.</w:t>
      </w:r>
    </w:p>
    <w:p>
      <w:pPr>
        <w:pStyle w:val="Heading1"/>
      </w:pPr>
      <w:r>
        <w:t>1. How it works — the split at handover</w:t>
      </w:r>
    </w:p>
    <w:p>
      <w:pPr>
        <w:pStyle w:val="Heading2"/>
      </w:pPr>
      <w:r>
        <w:t>Part 1 — at handover (the project's job)</w:t>
      </w:r>
    </w:p>
    <w:p>
      <w:r>
        <w:t>For each Business Case benefit, the project defines a benefit line and captures the baseline, target, measure, outcomes owner, and review date, then transfers it to the outcomes owner. This is finite and happens while the project team still exists. The project's responsibility ends at handover.</w:t>
      </w:r>
    </w:p>
    <w:p>
      <w:r>
        <w:rPr>
          <w:b/>
        </w:rPr>
        <w:t>Timing rule.</w:t>
      </w:r>
      <w:r>
        <w:t xml:space="preserve"> The baseline — the “before” number — must be captured before go-live, while the prior state still exists. Miss this and the benefit can never be measured.</w:t>
      </w:r>
    </w:p>
    <w:p>
      <w:pPr>
        <w:pStyle w:val="Heading2"/>
      </w:pPr>
      <w:r>
        <w:t>Part 2 — over time (the business's job)</w:t>
      </w:r>
    </w:p>
    <w:p>
      <w:r>
        <w:t>After handover, the outcomes owner watches the benefit through normal BAU reporting and runs a single lightweight review at the benefit's horizon. No new measurement machinery is created — benefits surface in numbers the business already produces, such as reduced FTE, increased automation, reduced budget, or expanded service for the same budget.</w:t>
      </w:r>
    </w:p>
    <w:p>
      <w:pPr>
        <w:pStyle w:val="Heading1"/>
      </w:pPr>
      <w:r>
        <w:t>2. The benefit line</w:t>
      </w:r>
    </w:p>
    <w:p>
      <w:r>
        <w:t>One benefit line per benefit, built up across the project lifecycle. Its fields:</w:t>
      </w:r>
    </w:p>
    <w:p>
      <w:pPr>
        <w:pStyle w:val="ListBullet"/>
      </w:pPr>
      <w:r>
        <w:t>Benefit — one line.</w:t>
      </w:r>
    </w:p>
    <w:p>
      <w:pPr>
        <w:pStyle w:val="ListBullet"/>
      </w:pPr>
      <w:r>
        <w:t>Strategic objective — the objective it rolls up to.</w:t>
      </w:r>
    </w:p>
    <w:p>
      <w:pPr>
        <w:pStyle w:val="ListBullet"/>
      </w:pPr>
      <w:r>
        <w:t>Type — hard or soft; and cashable or non-cashable.</w:t>
      </w:r>
    </w:p>
    <w:p>
      <w:pPr>
        <w:pStyle w:val="ListBullet"/>
      </w:pPr>
      <w:r>
        <w:t>Baseline — the before value, with the date captured (before go-live).</w:t>
      </w:r>
    </w:p>
    <w:p>
      <w:pPr>
        <w:pStyle w:val="ListBullet"/>
      </w:pPr>
      <w:r>
        <w:t>Target — from the Business Case.</w:t>
      </w:r>
    </w:p>
    <w:p>
      <w:pPr>
        <w:pStyle w:val="ListBullet"/>
      </w:pPr>
      <w:r>
        <w:t>Measure — which existing BAU metric, and where it is already reported.</w:t>
      </w:r>
    </w:p>
    <w:p>
      <w:pPr>
        <w:pStyle w:val="ListBullet"/>
      </w:pPr>
      <w:r>
        <w:t>Outcomes owner — the named business role that now owns the benefit.</w:t>
      </w:r>
    </w:p>
    <w:p>
      <w:pPr>
        <w:pStyle w:val="ListBullet"/>
      </w:pPr>
      <w:r>
        <w:t>Review date — when the benefit should have materialised (its horizon).</w:t>
      </w:r>
    </w:p>
    <w:p>
      <w:pPr>
        <w:pStyle w:val="ListBullet"/>
      </w:pPr>
      <w:r>
        <w:t>Dis-benefits — any negative effects to watch, one line.</w:t>
      </w:r>
    </w:p>
    <w:p>
      <w:pPr>
        <w:pStyle w:val="ListBullet"/>
      </w:pPr>
      <w:r>
        <w:t>At review — actual value, status (realised / partial / not realised), one-line reason, and any action needed.</w:t>
      </w:r>
    </w:p>
    <w:p>
      <w:pPr>
        <w:pStyle w:val="Heading1"/>
      </w:pPr>
      <w:r>
        <w:t>3. Reading BAU numbers back to the Business Case</w:t>
      </w:r>
    </w:p>
    <w:p>
      <w:r>
        <w:t>The measure points at a metric the business already produces. At the review date, the outcomes owner reads its current value from the report they already run, compares it to the baseline and the target, and records the status. There is no new data collection — only a comparison.</w:t>
      </w:r>
    </w:p>
    <w:p>
      <w:r>
        <w:rPr>
          <w:b/>
        </w:rPr>
        <w:t>Why the “cashable” field matters.</w:t>
      </w:r>
      <w:r>
        <w:t xml:space="preserve"> An efficiency only becomes a saving if someone acts on it. Time or headcount freed but never redeployed is a benefit on paper only — the exact trap where idle capacity is created but never converted. Naming whether a benefit is cashable, and whether it has been cashed, keeps the check honest.</w:t>
      </w:r>
    </w:p>
    <w:p>
      <w:pPr>
        <w:pStyle w:val="Heading1"/>
      </w:pPr>
      <w:r>
        <w:t>4. Roles and responsibilities</w:t>
      </w:r>
    </w:p>
    <w:p>
      <w:pPr>
        <w:pStyle w:val="ListBullet"/>
      </w:pPr>
      <w:r>
        <w:t>Project (PM / Business Owner) — defines, baselines, and hands over each benefit. Responsibility ends at handover.</w:t>
      </w:r>
    </w:p>
    <w:p>
      <w:pPr>
        <w:pStyle w:val="ListBullet"/>
      </w:pPr>
      <w:r>
        <w:t>Outcomes owner (business) — owns each benefit from handover, runs the single review at its horizon, and acts to realise it.</w:t>
      </w:r>
    </w:p>
    <w:p>
      <w:pPr>
        <w:pStyle w:val="ListBullet"/>
      </w:pPr>
      <w:r>
        <w:t>PMO / Head of PMO — owns this guide, the Benefit Register, and the review approach — not the benefits themselves.</w:t>
      </w:r>
    </w:p>
    <w:p>
      <w:pPr>
        <w:pStyle w:val="ListBullet"/>
      </w:pPr>
      <w:r>
        <w:t>BoM (if the organisation runs one) — may request benefit data from outcomes owners. Aggregating benefits across projects into a portfolio view is optional and adds no project-level overhead — if there's no portfolio function, the project still baselines and hands over exactly as normal.</w:t>
      </w:r>
    </w:p>
    <w:p>
      <w:pPr>
        <w:pStyle w:val="Heading1"/>
      </w:pPr>
      <w:r>
        <w:t>5. Where it sits in the lifecycle</w:t>
      </w:r>
    </w:p>
    <w:p>
      <w:pPr>
        <w:pStyle w:val="ListBullet"/>
      </w:pPr>
      <w:r>
        <w:t>Green Light — name the strategic objective each benefit supports, and define the benefit line. The strategic link is mandatory; some strategic projects (compliance, capability foundations) legitimately have no clean number, but must still name the objective they serve.</w:t>
      </w:r>
    </w:p>
    <w:p>
      <w:pPr>
        <w:pStyle w:val="ListBullet"/>
      </w:pPr>
      <w:r>
        <w:t>Before go-live — capture the baseline while the prior state still exists.</w:t>
      </w:r>
    </w:p>
    <w:p>
      <w:pPr>
        <w:pStyle w:val="ListBullet"/>
      </w:pPr>
      <w:r>
        <w:t>Handover / closure — confirm the outcomes owner and review date, and transfer the benefit lines. Project responsibility ends here — see the Lessons Learned &amp; Closure Facilitation Guide.</w:t>
      </w:r>
    </w:p>
    <w:p>
      <w:pPr>
        <w:pStyle w:val="ListBullet"/>
      </w:pPr>
      <w:r>
        <w:t>Review date (in BAU) — the outcomes owner runs the post-implementation benefit review.</w:t>
      </w:r>
    </w:p>
    <w:p>
      <w:pPr>
        <w:pStyle w:val="Heading1"/>
      </w:pPr>
      <w:r>
        <w:t>6. The post-implementation benefit review</w:t>
      </w:r>
    </w:p>
    <w:p>
      <w:r>
        <w:t>A one-page prompt the outcomes owner completes per benefit at its review date. It is a single review, not a standing process:</w:t>
      </w:r>
    </w:p>
    <w:tbl>
      <w:tblPr>
        <w:tblStyle w:val="LightGrid-Accent1"/>
        <w:tblW w:type="auto" w:w="0"/>
        <w:tblLook w:firstColumn="1" w:firstRow="1" w:lastColumn="0" w:lastRow="0" w:noHBand="0" w:noVBand="1" w:val="04A0"/>
      </w:tblPr>
      <w:tblGrid>
        <w:gridCol w:w="4320"/>
        <w:gridCol w:w="4320"/>
      </w:tblGrid>
      <w:tr>
        <w:tc>
          <w:tcPr>
            <w:tcW w:type="dxa" w:w="4320"/>
          </w:tcPr>
          <w:p>
            <w:r>
              <w:rPr>
                <w:b/>
                <w:sz w:val="20"/>
              </w:rPr>
              <w:t>Prompt</w:t>
            </w:r>
          </w:p>
        </w:tc>
        <w:tc>
          <w:tcPr>
            <w:tcW w:type="dxa" w:w="4320"/>
          </w:tcPr>
          <w:p>
            <w:r>
              <w:rPr>
                <w:b/>
                <w:sz w:val="20"/>
              </w:rPr>
              <w:t>Response</w:t>
            </w:r>
          </w:p>
        </w:tc>
      </w:tr>
      <w:tr>
        <w:tc>
          <w:tcPr>
            <w:tcW w:type="dxa" w:w="4320"/>
          </w:tcPr>
          <w:p>
            <w:r>
              <w:rPr>
                <w:sz w:val="20"/>
              </w:rPr>
              <w:t>Benefit &amp; objective</w:t>
            </w:r>
          </w:p>
        </w:tc>
        <w:tc>
          <w:tcPr>
            <w:tcW w:type="dxa" w:w="4320"/>
          </w:tcPr>
          <w:p>
            <w:r>
              <w:rPr>
                <w:sz w:val="20"/>
              </w:rPr>
            </w:r>
          </w:p>
        </w:tc>
      </w:tr>
      <w:tr>
        <w:tc>
          <w:tcPr>
            <w:tcW w:type="dxa" w:w="4320"/>
          </w:tcPr>
          <w:p>
            <w:r>
              <w:rPr>
                <w:sz w:val="20"/>
              </w:rPr>
              <w:t>Baseline / target / actual (from the BAU metric)</w:t>
            </w:r>
          </w:p>
        </w:tc>
        <w:tc>
          <w:tcPr>
            <w:tcW w:type="dxa" w:w="4320"/>
          </w:tcPr>
          <w:p>
            <w:r>
              <w:rPr>
                <w:sz w:val="20"/>
              </w:rPr>
            </w:r>
          </w:p>
        </w:tc>
      </w:tr>
      <w:tr>
        <w:tc>
          <w:tcPr>
            <w:tcW w:type="dxa" w:w="4320"/>
          </w:tcPr>
          <w:p>
            <w:r>
              <w:rPr>
                <w:sz w:val="20"/>
              </w:rPr>
              <w:t>Status</w:t>
            </w:r>
          </w:p>
        </w:tc>
        <w:tc>
          <w:tcPr>
            <w:tcW w:type="dxa" w:w="4320"/>
          </w:tcPr>
          <w:p>
            <w:r>
              <w:rPr>
                <w:sz w:val="20"/>
              </w:rPr>
              <w:t>Realised / partial / not realised</w:t>
            </w:r>
          </w:p>
        </w:tc>
      </w:tr>
      <w:tr>
        <w:tc>
          <w:tcPr>
            <w:tcW w:type="dxa" w:w="4320"/>
          </w:tcPr>
          <w:p>
            <w:r>
              <w:rPr>
                <w:sz w:val="20"/>
              </w:rPr>
              <w:t>Why (one line)</w:t>
            </w:r>
          </w:p>
        </w:tc>
        <w:tc>
          <w:tcPr>
            <w:tcW w:type="dxa" w:w="4320"/>
          </w:tcPr>
          <w:p>
            <w:r>
              <w:rPr>
                <w:sz w:val="20"/>
              </w:rPr>
            </w:r>
          </w:p>
        </w:tc>
      </w:tr>
      <w:tr>
        <w:tc>
          <w:tcPr>
            <w:tcW w:type="dxa" w:w="4320"/>
          </w:tcPr>
          <w:p>
            <w:r>
              <w:rPr>
                <w:sz w:val="20"/>
              </w:rPr>
              <w:t>Cashable? Has it been cashed?</w:t>
            </w:r>
          </w:p>
        </w:tc>
        <w:tc>
          <w:tcPr>
            <w:tcW w:type="dxa" w:w="4320"/>
          </w:tcPr>
          <w:p>
            <w:r>
              <w:rPr>
                <w:sz w:val="20"/>
              </w:rPr>
            </w:r>
          </w:p>
        </w:tc>
      </w:tr>
      <w:tr>
        <w:tc>
          <w:tcPr>
            <w:tcW w:type="dxa" w:w="4320"/>
          </w:tcPr>
          <w:p>
            <w:r>
              <w:rPr>
                <w:sz w:val="20"/>
              </w:rPr>
              <w:t>Any dis-benefits observed?</w:t>
            </w:r>
          </w:p>
        </w:tc>
        <w:tc>
          <w:tcPr>
            <w:tcW w:type="dxa" w:w="4320"/>
          </w:tcPr>
          <w:p>
            <w:r>
              <w:rPr>
                <w:sz w:val="20"/>
              </w:rPr>
            </w:r>
          </w:p>
        </w:tc>
      </w:tr>
      <w:tr>
        <w:tc>
          <w:tcPr>
            <w:tcW w:type="dxa" w:w="4320"/>
          </w:tcPr>
          <w:p>
            <w:r>
              <w:rPr>
                <w:sz w:val="20"/>
              </w:rPr>
              <w:t>Action to fully realise (owner &amp; date)</w:t>
            </w:r>
          </w:p>
        </w:tc>
        <w:tc>
          <w:tcPr>
            <w:tcW w:type="dxa" w:w="4320"/>
          </w:tcPr>
          <w:p>
            <w:r>
              <w:rPr>
                <w:sz w:val="20"/>
              </w:rPr>
            </w:r>
          </w:p>
        </w:tc>
      </w:tr>
    </w:tbl>
    <w:p>
      <w:pPr>
        <w:pStyle w:val="Heading1"/>
      </w:pPr>
      <w:r>
        <w:t>7. The lightest meaningful check, and boundaries</w:t>
      </w:r>
    </w:p>
    <w:p>
      <w:r>
        <w:t>The floor: every benefit has a benefit line, and either a measurable review at its horizon or a named strategic link. If it has neither, question the project at Green Light.</w:t>
      </w:r>
    </w:p>
    <w:p>
      <w:pPr>
        <w:pStyle w:val="ListBullet"/>
      </w:pPr>
      <w:r>
        <w:t>The project is not responsible after handover — benefits tracking over time is the business's job.</w:t>
      </w:r>
    </w:p>
    <w:p>
      <w:pPr>
        <w:pStyle w:val="ListBullet"/>
      </w:pPr>
      <w:r>
        <w:t>This guide and the Benefit Register supply the instrument; BAU runs the review. No separate benefits-management function is created.</w:t>
      </w:r>
    </w:p>
    <w:p>
      <w:pPr>
        <w:pStyle w:val="ListBullet"/>
      </w:pPr>
      <w:r>
        <w:t>Cross-project aggregation is an optional portfolio capability, never a project-level obligation.</w:t>
      </w:r>
    </w:p>
    <w:p>
      <w:pPr>
        <w:pStyle w:val="ListBullet"/>
      </w:pPr>
      <w:r>
        <w:t>Strategy is the gate; benefits are the evidence. The mandatory test is the strategic link — the benefit line is the proof where value can be measured.</w:t>
      </w:r>
    </w:p>
    <w:p>
      <w:pPr>
        <w:pStyle w:val="Heading1"/>
      </w:pPr>
      <w:r>
        <w:t>8. Using the Benefit Register</w:t>
      </w:r>
    </w:p>
    <w:p>
      <w:r>
        <w:t>The Benefit Register tool, in Administration &amp; Reporting, holds one row per benefit and carries it through baseline, handover, and review. It includes a worked example.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