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color w:val="8A8A8A"/>
          <w:sz w:val="20"/>
        </w:rPr>
        <w:t>SSLM · Simple Solution, Low Maintenance</w:t>
      </w:r>
    </w:p>
    <w:p>
      <w:pPr>
        <w:jc w:val="center"/>
      </w:pPr>
      <w:r>
        <w:rPr>
          <w:rFonts w:ascii="Calibri" w:hAnsi="Calibri"/>
          <w:b/>
          <w:color w:val="1F3864"/>
          <w:sz w:val="56"/>
        </w:rPr>
        <w:t>The Budget, Cost &amp; Resource Management Guide</w:t>
      </w:r>
    </w:p>
    <w:p>
      <w:pPr>
        <w:jc w:val="center"/>
      </w:pPr>
      <w:r>
        <w:rPr>
          <w:i/>
          <w:color w:val="595959"/>
          <w:sz w:val="26"/>
        </w:rPr>
        <w:t>Keep spend and resource visible and rolled up, without building a finance system</w:t>
      </w:r>
    </w:p>
    <w:p>
      <w:r>
        <w:t>Purpose. Money and people are the two things a project runs out of first. This guide keeps both in view — a single, light picture of cost and resource that rolls up through the Project Plan and reporting, so both are managed against the critical path without standing up a separate finance system.</w:t>
      </w:r>
    </w:p>
    <w:p>
      <w:r>
        <w:t>What's inside: the two parts of the model (cost plan and resource plan), how they roll up into reporting, what goes in each, roles and responsibilities, scaling the approach to project size, and the boundaries of what this guide does and doesn't cover.</w:t>
      </w:r>
    </w:p>
    <w:p>
      <w:pPr>
        <w:pStyle w:val="Heading1"/>
      </w:pPr>
      <w:r>
        <w:t>1. What it is</w:t>
      </w:r>
    </w:p>
    <w:p>
      <w:r>
        <w:t>Two small parts that ride on the Project Plan, not a system of their own:</w:t>
      </w:r>
    </w:p>
    <w:p>
      <w:pPr>
        <w:pStyle w:val="ListBullet"/>
      </w:pPr>
      <w:r>
        <w:t>Cost plan — budget baseline, actuals to date, forecast at completion, variance, and status.</w:t>
      </w:r>
    </w:p>
    <w:p>
      <w:pPr>
        <w:pStyle w:val="ListBullet"/>
      </w:pPr>
      <w:r>
        <w:t>Resource plan — what's needed, when, from where (own, rent, or automate), and whether it sits on the critical path.</w:t>
      </w:r>
    </w:p>
    <w:p>
      <w:pPr>
        <w:pStyle w:val="Heading1"/>
      </w:pPr>
      <w:r>
        <w:t>2. How it rolls up</w:t>
      </w:r>
    </w:p>
    <w:p>
      <w:pPr>
        <w:pStyle w:val="ListBullet"/>
      </w:pPr>
      <w:r>
        <w:t>Budget baseline. Comes from the Business Case and is a controlled baseline — changed only by a Change Request, the same gate as scope and time.</w:t>
      </w:r>
    </w:p>
    <w:p>
      <w:pPr>
        <w:pStyle w:val="ListBullet"/>
      </w:pPr>
      <w:r>
        <w:t>Control vs record. Actuals come from the organisation's finance system (the record); the Project Manager maintains the forecast against plan (the control). The two are kept distinct.</w:t>
      </w:r>
    </w:p>
    <w:p>
      <w:pPr>
        <w:pStyle w:val="ListBullet"/>
      </w:pPr>
      <w:r>
        <w:t>Weekly roll-up. Each week, the cost status (RAG) and any resource-availability flag roll up into the Weekly Update, and from there into the Monthly Report and Portfolio Roll-up like everything else.</w:t>
      </w:r>
    </w:p>
    <w:p>
      <w:pPr>
        <w:pStyle w:val="ListBullet"/>
      </w:pPr>
      <w:r>
        <w:t>Prioritise to the critical path. Resource is scheduled to the critical path; a workstream waiting on a lagging constraint is throttled or paused, not funded at full burn regardless.</w:t>
      </w:r>
    </w:p>
    <w:p>
      <w:pPr>
        <w:pStyle w:val="Heading1"/>
      </w:pPr>
      <w:r>
        <w:t>3. The cost plan</w:t>
      </w:r>
    </w:p>
    <w:p>
      <w:r>
        <w:t>One line per cost item or milestone. Forecast at completion is the Project Manager's view; actuals are read from the finance system, not re-entered from memory.</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sz w:val="20"/>
              </w:rPr>
              <w:t>Cost item / milestone</w:t>
            </w:r>
          </w:p>
        </w:tc>
        <w:tc>
          <w:tcPr>
            <w:tcW w:type="dxa" w:w="1440"/>
          </w:tcPr>
          <w:p>
            <w:r>
              <w:rPr>
                <w:b/>
                <w:sz w:val="20"/>
              </w:rPr>
              <w:t>Budget</w:t>
            </w:r>
          </w:p>
        </w:tc>
        <w:tc>
          <w:tcPr>
            <w:tcW w:type="dxa" w:w="1440"/>
          </w:tcPr>
          <w:p>
            <w:r>
              <w:rPr>
                <w:b/>
                <w:sz w:val="20"/>
              </w:rPr>
              <w:t>Actual to date</w:t>
            </w:r>
          </w:p>
        </w:tc>
        <w:tc>
          <w:tcPr>
            <w:tcW w:type="dxa" w:w="1440"/>
          </w:tcPr>
          <w:p>
            <w:r>
              <w:rPr>
                <w:b/>
                <w:sz w:val="20"/>
              </w:rPr>
              <w:t>Forecast at completion</w:t>
            </w:r>
          </w:p>
        </w:tc>
        <w:tc>
          <w:tcPr>
            <w:tcW w:type="dxa" w:w="1440"/>
          </w:tcPr>
          <w:p>
            <w:r>
              <w:rPr>
                <w:b/>
                <w:sz w:val="20"/>
              </w:rPr>
              <w:t>Variance</w:t>
            </w:r>
          </w:p>
        </w:tc>
        <w:tc>
          <w:tcPr>
            <w:tcW w:type="dxa" w:w="1440"/>
          </w:tcPr>
          <w:p>
            <w:r>
              <w:rPr>
                <w:b/>
                <w:sz w:val="20"/>
              </w:rPr>
              <w:t>Status</w:t>
            </w:r>
          </w:p>
        </w:tc>
      </w:tr>
      <w:tr>
        <w:tc>
          <w:tcPr>
            <w:tcW w:type="dxa" w:w="1440"/>
          </w:tcPr>
          <w:p>
            <w:r>
              <w:rPr>
                <w:sz w:val="20"/>
              </w:rPr>
              <w:t>e.g. M4 — SSO integration</w:t>
            </w:r>
          </w:p>
        </w:tc>
        <w:tc>
          <w:tcPr>
            <w:tcW w:type="dxa" w:w="1440"/>
          </w:tcPr>
          <w:p>
            <w:r>
              <w:rPr>
                <w:sz w:val="20"/>
              </w:rPr>
              <w:t>$45,000</w:t>
            </w:r>
          </w:p>
        </w:tc>
        <w:tc>
          <w:tcPr>
            <w:tcW w:type="dxa" w:w="1440"/>
          </w:tcPr>
          <w:p>
            <w:r>
              <w:rPr>
                <w:sz w:val="20"/>
              </w:rPr>
              <w:t>$38,000</w:t>
            </w:r>
          </w:p>
        </w:tc>
        <w:tc>
          <w:tcPr>
            <w:tcW w:type="dxa" w:w="1440"/>
          </w:tcPr>
          <w:p>
            <w:r>
              <w:rPr>
                <w:sz w:val="20"/>
              </w:rPr>
              <w:t>$52,000</w:t>
            </w:r>
          </w:p>
        </w:tc>
        <w:tc>
          <w:tcPr>
            <w:tcW w:type="dxa" w:w="1440"/>
          </w:tcPr>
          <w:p>
            <w:r>
              <w:rPr>
                <w:sz w:val="20"/>
              </w:rPr>
              <w:t>+$7,000</w:t>
            </w:r>
          </w:p>
        </w:tc>
        <w:tc>
          <w:tcPr>
            <w:tcW w:type="dxa" w:w="1440"/>
          </w:tcPr>
          <w:p>
            <w:r>
              <w:rPr>
                <w:sz w:val="20"/>
              </w:rPr>
              <w:t>Amber</w:t>
            </w:r>
          </w:p>
        </w:tc>
      </w:tr>
    </w:tbl>
    <w:p>
      <w:pPr>
        <w:pStyle w:val="Heading1"/>
      </w:pPr>
      <w:r>
        <w:t>4. The resource plan</w:t>
      </w:r>
    </w:p>
    <w:p>
      <w:r>
        <w:t>One line per resource. "Source" records the build-vs-buy choice for that resource — own it internally, rent it (contractor or vendor), or automate it.</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sz w:val="20"/>
              </w:rPr>
              <w:t>Resource (role / skill)</w:t>
            </w:r>
          </w:p>
        </w:tc>
        <w:tc>
          <w:tcPr>
            <w:tcW w:type="dxa" w:w="1728"/>
          </w:tcPr>
          <w:p>
            <w:r>
              <w:rPr>
                <w:b/>
                <w:sz w:val="20"/>
              </w:rPr>
              <w:t>Source (own / rent / automate)</w:t>
            </w:r>
          </w:p>
        </w:tc>
        <w:tc>
          <w:tcPr>
            <w:tcW w:type="dxa" w:w="1728"/>
          </w:tcPr>
          <w:p>
            <w:r>
              <w:rPr>
                <w:b/>
                <w:sz w:val="20"/>
              </w:rPr>
              <w:t>When needed</w:t>
            </w:r>
          </w:p>
        </w:tc>
        <w:tc>
          <w:tcPr>
            <w:tcW w:type="dxa" w:w="1728"/>
          </w:tcPr>
          <w:p>
            <w:r>
              <w:rPr>
                <w:b/>
                <w:sz w:val="20"/>
              </w:rPr>
              <w:t>On critical path?</w:t>
            </w:r>
          </w:p>
        </w:tc>
        <w:tc>
          <w:tcPr>
            <w:tcW w:type="dxa" w:w="1728"/>
          </w:tcPr>
          <w:p>
            <w:r>
              <w:rPr>
                <w:b/>
                <w:sz w:val="20"/>
              </w:rPr>
              <w:t>Status</w:t>
            </w:r>
          </w:p>
        </w:tc>
      </w:tr>
      <w:tr>
        <w:tc>
          <w:tcPr>
            <w:tcW w:type="dxa" w:w="1728"/>
          </w:tcPr>
          <w:p>
            <w:r>
              <w:rPr>
                <w:sz w:val="20"/>
              </w:rPr>
              <w:t>e.g. SSO integration specialist</w:t>
            </w:r>
          </w:p>
        </w:tc>
        <w:tc>
          <w:tcPr>
            <w:tcW w:type="dxa" w:w="1728"/>
          </w:tcPr>
          <w:p>
            <w:r>
              <w:rPr>
                <w:sz w:val="20"/>
              </w:rPr>
              <w:t>Rent (vendor)</w:t>
            </w:r>
          </w:p>
        </w:tc>
        <w:tc>
          <w:tcPr>
            <w:tcW w:type="dxa" w:w="1728"/>
          </w:tcPr>
          <w:p>
            <w:r>
              <w:rPr>
                <w:sz w:val="20"/>
              </w:rPr>
              <w:t>Jun 2026</w:t>
            </w:r>
          </w:p>
        </w:tc>
        <w:tc>
          <w:tcPr>
            <w:tcW w:type="dxa" w:w="1728"/>
          </w:tcPr>
          <w:p>
            <w:r>
              <w:rPr>
                <w:sz w:val="20"/>
              </w:rPr>
              <w:t>Yes</w:t>
            </w:r>
          </w:p>
        </w:tc>
        <w:tc>
          <w:tcPr>
            <w:tcW w:type="dxa" w:w="1728"/>
          </w:tcPr>
          <w:p>
            <w:r>
              <w:rPr>
                <w:sz w:val="20"/>
              </w:rPr>
              <w:t>Amber — vendor slippage</w:t>
            </w:r>
          </w:p>
        </w:tc>
      </w:tr>
    </w:tbl>
    <w:p>
      <w:pPr>
        <w:pStyle w:val="Heading1"/>
      </w:pPr>
      <w:r>
        <w:t>5. Roles and responsibilities</w:t>
      </w:r>
    </w:p>
    <w:p>
      <w:pPr>
        <w:pStyle w:val="ListBullet"/>
      </w:pPr>
      <w:r>
        <w:t>Project Sponsor — accountable for the budget outcome: delivering within the approved envelope.</w:t>
      </w:r>
    </w:p>
    <w:p>
      <w:pPr>
        <w:pStyle w:val="ListBullet"/>
      </w:pPr>
      <w:r>
        <w:t>Project Manager — control against plan: tracking spend versus forecast, and scheduling resource to the critical path.</w:t>
      </w:r>
    </w:p>
    <w:p>
      <w:pPr>
        <w:pStyle w:val="ListBullet"/>
      </w:pPr>
      <w:r>
        <w:t>Finance function — the record: actuals, commitments, forecasting rigour, and compliance. A service to the project, not accountable for delivery.</w:t>
      </w:r>
    </w:p>
    <w:p>
      <w:pPr>
        <w:pStyle w:val="ListBullet"/>
      </w:pPr>
      <w:r>
        <w:t>Change Request — the route for any change to the budget or resource envelope. Never a quiet edit.</w:t>
      </w:r>
    </w:p>
    <w:p>
      <w:pPr>
        <w:pStyle w:val="Heading1"/>
      </w:pPr>
      <w:r>
        <w:t>6. Scaling to project size</w:t>
      </w:r>
    </w:p>
    <w:p>
      <w:r>
        <w:t>This guide scales with the project rather than applying one fixed process to every size of initiative:</w:t>
      </w:r>
    </w:p>
    <w:p>
      <w:pPr>
        <w:pStyle w:val="ListBullet"/>
      </w:pPr>
      <w:r>
        <w:t>Smaller projects — a single budget-vs-actual line and a short resource list is often enough, using the organisation's existing finance support. Update it as part of the Weekly Update.</w:t>
      </w:r>
    </w:p>
    <w:p>
      <w:pPr>
        <w:pStyle w:val="ListBullet"/>
      </w:pPr>
      <w:r>
        <w:t>Larger or higher-spend projects — maintain a full forecast; make cost and resource standing agenda items in the SteerCo Pack and Weekly Update; engage a finance business partner directly rather than relying on ad hoc support.</w:t>
      </w:r>
    </w:p>
    <w:p>
      <w:pPr>
        <w:pStyle w:val="ListBullet"/>
      </w:pPr>
      <w:r>
        <w:t>Portfolio level — funding decisions and monthly cost reporting to the BoM happen through the PTIP and Monthly Report to BoM, above the level of any individual project.</w:t>
      </w:r>
    </w:p>
    <w:p>
      <w:pPr>
        <w:pStyle w:val="Heading1"/>
      </w:pPr>
      <w:r>
        <w:t>7. Boundaries</w:t>
      </w:r>
    </w:p>
    <w:p>
      <w:pPr>
        <w:pStyle w:val="ListBullet"/>
      </w:pPr>
      <w:r>
        <w:t>Not a ledger. This guide and its tool consume actuals from the organisation's finance system; they don't reproduce it.</w:t>
      </w:r>
    </w:p>
    <w:p>
      <w:pPr>
        <w:pStyle w:val="ListBullet"/>
      </w:pPr>
      <w:r>
        <w:t>Finance owns actuals; the Project Manager owns control. Keep the two distinct rather than letting the project maintain its own shadow set of numbers.</w:t>
      </w:r>
    </w:p>
    <w:p>
      <w:pPr>
        <w:pStyle w:val="ListBullet"/>
      </w:pPr>
      <w:r>
        <w:t>Re-baselining is a Change Request. The budget or resource envelope is never quietly edited — any change follows the same process as a scope or timeline change.</w:t>
      </w:r>
    </w:p>
    <w:p>
      <w:pPr>
        <w:pStyle w:val="ListBullet"/>
      </w:pPr>
      <w:r>
        <w:t>Budget and resource are dimensions of the plan, not a system of their own — they roll up the same way everything else in the model does.</w:t>
      </w:r>
    </w:p>
    <w:p>
      <w:pPr>
        <w:pStyle w:val="Heading1"/>
      </w:pPr>
      <w:r>
        <w:t>8. Using the Cost &amp; Resource Plan</w:t>
      </w:r>
    </w:p>
    <w:p>
      <w:r>
        <w:t>The Cost &amp; Resource Plan tool, in Administration &amp; Reporting, holds both the cost plan and the resource plan for a project side by side. It includes a worked example.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1F3864"/>
    <w:rsid w:val="001F3864"/>
    <w:rsid w:val="002E5496"/>
    <w:rsid w:val="002E5496"/>
    <w:rsid w:val="001F38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F38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64"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496"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