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color w:val="8A8A8A"/>
          <w:sz w:val="20"/>
        </w:rPr>
        <w:t>SSLM · Simple Solution, Low Maintenance</w:t>
      </w:r>
    </w:p>
    <w:p>
      <w:pPr>
        <w:jc w:val="center"/>
      </w:pPr>
      <w:r>
        <w:rPr>
          <w:rFonts w:ascii="Calibri" w:hAnsi="Calibri"/>
          <w:b/>
          <w:color w:val="1F3864"/>
          <w:sz w:val="56"/>
        </w:rPr>
        <w:t>The Change Management Approach (ADKAR) Guide</w:t>
      </w:r>
    </w:p>
    <w:p>
      <w:pPr>
        <w:jc w:val="center"/>
      </w:pPr>
      <w:r>
        <w:rPr>
          <w:i/>
          <w:color w:val="595959"/>
          <w:sz w:val="26"/>
        </w:rPr>
        <w:t>A framework for managing the human side of change</w:t>
      </w:r>
    </w:p>
    <w:p>
      <w:r>
        <w:t>Purpose. Change control (the Change Request process) manages changes to scope, budget, timeline, and deliverables. Change management manages the people side — helping the individuals affected by a project move through the change successfully. This guide sets out ADKAR, a widely used framework for the latter, built around the individual's journey through change.</w:t>
      </w:r>
    </w:p>
    <w:p>
      <w:r>
        <w:t>What's inside: the five ADKAR building blocks — Awareness, Desire, Knowledge, Ability, and Reinforcement — with practical techniques for each, and a note on using ADKAR alongside the formal Change Request process.</w:t>
      </w:r>
    </w:p>
    <w:p>
      <w:pPr>
        <w:pStyle w:val="Heading1"/>
      </w:pPr>
      <w:r>
        <w:t>1. What is ADKAR?</w:t>
      </w:r>
    </w:p>
    <w:p>
      <w:r>
        <w:t>ADKAR focuses on the individual's journey through change rather than the project's task list. It identifies five things a person needs, in sequence, to change successfully:</w:t>
      </w:r>
    </w:p>
    <w:p>
      <w:pPr>
        <w:pStyle w:val="ListBullet"/>
      </w:pPr>
      <w:r>
        <w:t>Awareness of the need for change</w:t>
      </w:r>
    </w:p>
    <w:p>
      <w:pPr>
        <w:pStyle w:val="ListBullet"/>
      </w:pPr>
      <w:r>
        <w:t>Desire to support and participate in the change</w:t>
      </w:r>
    </w:p>
    <w:p>
      <w:pPr>
        <w:pStyle w:val="ListBullet"/>
      </w:pPr>
      <w:r>
        <w:t>Knowledge of how to change</w:t>
      </w:r>
    </w:p>
    <w:p>
      <w:pPr>
        <w:pStyle w:val="ListBullet"/>
      </w:pPr>
      <w:r>
        <w:t>Ability to implement new skills and behaviours</w:t>
      </w:r>
    </w:p>
    <w:p>
      <w:pPr>
        <w:pStyle w:val="ListBullet"/>
      </w:pPr>
      <w:r>
        <w:t>Reinforcement to make the change stick</w:t>
      </w:r>
    </w:p>
    <w:p>
      <w:r>
        <w:t>A change effort that skips a step — for example, training people (Knowledge) before they understand why the change matters (Awareness) — tends to stall. Use ADKAR to check which step is missing when a change isn't landing.</w:t>
      </w:r>
    </w:p>
    <w:p>
      <w:pPr>
        <w:pStyle w:val="Heading1"/>
      </w:pPr>
      <w:r>
        <w:t>2. Awareness</w:t>
      </w:r>
    </w:p>
    <w:p>
      <w:r>
        <w:t>Awareness means people understand why the change is happening and what it means for them.</w:t>
      </w:r>
    </w:p>
    <w:p>
      <w:pPr>
        <w:pStyle w:val="ListBullet"/>
      </w:pPr>
      <w:r>
        <w:t>Communicate the need for change clearly — a compelling, concise message on the reasons behind the change, its benefits, and a direct response to likely concerns.</w:t>
      </w:r>
    </w:p>
    <w:p>
      <w:pPr>
        <w:pStyle w:val="ListBullet"/>
      </w:pPr>
      <w:r>
        <w:t>Create a sense of urgency — be clear about the consequences of not changing, including the risks and opportunities missed.</w:t>
      </w:r>
    </w:p>
    <w:p>
      <w:r>
        <w:t>Techniques:</w:t>
      </w:r>
    </w:p>
    <w:p>
      <w:pPr>
        <w:pStyle w:val="ListBullet"/>
      </w:pPr>
      <w:r>
        <w:t>Change impact assessments — evaluate the impact on individuals, teams, and the organisation using surveys, interviews, or focus groups.</w:t>
      </w:r>
    </w:p>
    <w:p>
      <w:pPr>
        <w:pStyle w:val="ListBullet"/>
      </w:pPr>
      <w:r>
        <w:t>Stakeholder analysis — identify key stakeholders, their influence and likely resistance, and target communication accordingly.</w:t>
      </w:r>
    </w:p>
    <w:p>
      <w:pPr>
        <w:pStyle w:val="ListBullet"/>
      </w:pPr>
      <w:r>
        <w:t>Change champions — appoint champions or ambassadors to promote and advocate for the change.</w:t>
      </w:r>
    </w:p>
    <w:p>
      <w:pPr>
        <w:pStyle w:val="Heading1"/>
      </w:pPr>
      <w:r>
        <w:t>3. Desire</w:t>
      </w:r>
    </w:p>
    <w:p>
      <w:r>
        <w:t>Desire means people choose to support the change, not just tolerate it.</w:t>
      </w:r>
    </w:p>
    <w:p>
      <w:pPr>
        <w:pStyle w:val="ListBullet"/>
      </w:pPr>
      <w:r>
        <w:t>Develop a shared vision — paint the future state and its benefits, and involve stakeholders in shaping it.</w:t>
      </w:r>
    </w:p>
    <w:p>
      <w:pPr>
        <w:pStyle w:val="ListBullet"/>
      </w:pPr>
      <w:r>
        <w:t>Engage and involve people — encourage open dialogue and real participation in decisions.</w:t>
      </w:r>
    </w:p>
    <w:p>
      <w:pPr>
        <w:pStyle w:val="ListBullet"/>
      </w:pPr>
      <w:r>
        <w:t>Address concerns and resistance directly — identify likely sources of resistance early, provide support, and build trust through empathy.</w:t>
      </w:r>
    </w:p>
    <w:p>
      <w:r>
        <w:t>Techniques:</w:t>
      </w:r>
    </w:p>
    <w:p>
      <w:pPr>
        <w:pStyle w:val="ListBullet"/>
      </w:pPr>
      <w:r>
        <w:t>Visioning workshops — give people a hand in shaping the desired future state.</w:t>
      </w:r>
    </w:p>
    <w:p>
      <w:pPr>
        <w:pStyle w:val="ListBullet"/>
      </w:pPr>
      <w:r>
        <w:t>Leadership alignment — make sure leaders at every level are aligned, committed, and able to communicate the vision.</w:t>
      </w:r>
    </w:p>
    <w:p>
      <w:pPr>
        <w:pStyle w:val="ListBullet"/>
      </w:pPr>
      <w:r>
        <w:t>Engagement surveys — measure desire regularly and target additional support where it's low.</w:t>
      </w:r>
    </w:p>
    <w:p>
      <w:pPr>
        <w:pStyle w:val="Heading1"/>
      </w:pPr>
      <w:r>
        <w:t>4. Knowledge</w:t>
      </w:r>
    </w:p>
    <w:p>
      <w:r>
        <w:t>Knowledge means people know how to change — what to do differently, and why.</w:t>
      </w:r>
    </w:p>
    <w:p>
      <w:pPr>
        <w:pStyle w:val="ListBullet"/>
      </w:pPr>
      <w:r>
        <w:t>Provide clear, relevant information — explain the change's purpose, scope, and impact on roles and responsibilities. Back it with training and resources.</w:t>
      </w:r>
    </w:p>
    <w:p>
      <w:pPr>
        <w:pStyle w:val="ListBullet"/>
      </w:pPr>
      <w:r>
        <w:t>Use varied communication channels — town halls, newsletters, intranet, team briefings — and build in two-way channels for questions.</w:t>
      </w:r>
    </w:p>
    <w:p>
      <w:r>
        <w:t>Techniques:</w:t>
      </w:r>
    </w:p>
    <w:p>
      <w:pPr>
        <w:pStyle w:val="ListBullet"/>
      </w:pPr>
      <w:r>
        <w:t>Training programs — classroom, e-learning, or blended, matched to the learning need.</w:t>
      </w:r>
    </w:p>
    <w:p>
      <w:pPr>
        <w:pStyle w:val="ListBullet"/>
      </w:pPr>
      <w:r>
        <w:t>Knowledge-sharing platforms — give people access to resources, best practice, and lessons learned from each other.</w:t>
      </w:r>
    </w:p>
    <w:p>
      <w:pPr>
        <w:pStyle w:val="ListBullet"/>
      </w:pPr>
      <w:r>
        <w:t>Change readiness assessments — identify knowledge gaps and target learning to close them.</w:t>
      </w:r>
    </w:p>
    <w:p>
      <w:pPr>
        <w:pStyle w:val="Heading1"/>
      </w:pPr>
      <w:r>
        <w:t>5. Ability</w:t>
      </w:r>
    </w:p>
    <w:p>
      <w:r>
        <w:t>Ability means people can actually apply the new knowledge — knowing isn't the same as doing.</w:t>
      </w:r>
    </w:p>
    <w:p>
      <w:pPr>
        <w:pStyle w:val="ListBullet"/>
      </w:pPr>
      <w:r>
        <w:t>Develop skills and capabilities — identify the new competencies required, and support them with training, coaching, and mentoring.</w:t>
      </w:r>
    </w:p>
    <w:p>
      <w:pPr>
        <w:pStyle w:val="ListBullet"/>
      </w:pPr>
      <w:r>
        <w:t>Create room to practise — give people a safe environment to try, get it wrong, and learn, with collaboration encouraged.</w:t>
      </w:r>
    </w:p>
    <w:p>
      <w:r>
        <w:t>Techniques:</w:t>
      </w:r>
    </w:p>
    <w:p>
      <w:pPr>
        <w:pStyle w:val="ListBullet"/>
      </w:pPr>
      <w:r>
        <w:t>Job shadowing and mentoring — pair people with someone experienced to observe and learn from.</w:t>
      </w:r>
    </w:p>
    <w:p>
      <w:pPr>
        <w:pStyle w:val="ListBullet"/>
      </w:pPr>
      <w:r>
        <w:t>Simulations and role-play — practise new skills safely before applying them live.</w:t>
      </w:r>
    </w:p>
    <w:p>
      <w:pPr>
        <w:pStyle w:val="ListBullet"/>
      </w:pPr>
      <w:r>
        <w:t>Performance support tools — job aids, checklists, and quick-reference guides for just-in-time support.</w:t>
      </w:r>
    </w:p>
    <w:p>
      <w:pPr>
        <w:pStyle w:val="Heading1"/>
      </w:pPr>
      <w:r>
        <w:t>6. Reinforcement</w:t>
      </w:r>
    </w:p>
    <w:p>
      <w:r>
        <w:t>Reinforcement means the change sticks, rather than fading once attention moves on.</w:t>
      </w:r>
    </w:p>
    <w:p>
      <w:pPr>
        <w:pStyle w:val="ListBullet"/>
      </w:pPr>
      <w:r>
        <w:t>Recognise and reward the desired behaviours — celebrate early wins and acknowledge people who embrace the change.</w:t>
      </w:r>
    </w:p>
    <w:p>
      <w:pPr>
        <w:pStyle w:val="ListBullet"/>
      </w:pPr>
      <w:r>
        <w:t>Align systems and processes — remove anything in policies, systems, or process that still pulls people back to the old way.</w:t>
      </w:r>
    </w:p>
    <w:p>
      <w:pPr>
        <w:pStyle w:val="ListBullet"/>
      </w:pPr>
      <w:r>
        <w:t>Measure and track progress — set KPIs, monitor them regularly, and adjust the approach as needed.</w:t>
      </w:r>
    </w:p>
    <w:p>
      <w:r>
        <w:t>Techniques:</w:t>
      </w:r>
    </w:p>
    <w:p>
      <w:pPr>
        <w:pStyle w:val="ListBullet"/>
      </w:pPr>
      <w:r>
        <w:t>Recognition and rewards programs — celebrate milestones with certificates, public acknowledgement, or other incentives.</w:t>
      </w:r>
    </w:p>
    <w:p>
      <w:pPr>
        <w:pStyle w:val="ListBullet"/>
      </w:pPr>
      <w:r>
        <w:t>Performance management — align goals and feedback with the change objectives.</w:t>
      </w:r>
    </w:p>
    <w:p>
      <w:pPr>
        <w:pStyle w:val="ListBullet"/>
      </w:pPr>
      <w:r>
        <w:t>Ongoing change impact assessments — keep checking where reinforcement is still needed and adjust the strategy.</w:t>
      </w:r>
    </w:p>
    <w:p>
      <w:pPr>
        <w:pStyle w:val="Heading1"/>
      </w:pPr>
      <w:r>
        <w:t>7. Using ADKAR alongside change control</w:t>
      </w:r>
    </w:p>
    <w:p>
      <w:r>
        <w:t>ADKAR and the Change Request process solve different problems and both matter. Change control decides whether scope, budget, timeline, or a deliverable should change, and formally records that decision. Change management is what makes the people affected by that decision actually adopt it. A Change Request can be approved and still fail in practice if no one has moved through Awareness, Desire, Knowledge, Ability, and Reinforcement — so run both, side by side, for any change with real impact on how people work.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1F3864"/>
    <w:rsid w:val="001F3864"/>
    <w:rsid w:val="002E5496"/>
    <w:rsid w:val="002E5496"/>
    <w:rsid w:val="001F3864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1F386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1F3864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1F386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864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1F3864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2E549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F386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F3864"/>
  </w:style>
  <w:style w:type="paragraph" w:styleId="BodyText2">
    <w:name w:val="Body Text 2"/>
    <w:basedOn w:val="Normal"/>
    <w:link w:val="BodyText2Char"/>
    <w:uiPriority w:val="99"/>
    <w:unhideWhenUsed/>
    <w:rsid w:val="001F386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F3864"/>
  </w:style>
  <w:style w:type="paragraph" w:styleId="BodyText3">
    <w:name w:val="Body Text 3"/>
    <w:basedOn w:val="Normal"/>
    <w:link w:val="BodyText3Char"/>
    <w:uiPriority w:val="99"/>
    <w:unhideWhenUsed/>
    <w:rsid w:val="001F386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F3864"/>
    <w:rPr>
      <w:sz w:val="16"/>
      <w:szCs w:val="16"/>
    </w:rPr>
  </w:style>
  <w:style w:type="paragraph" w:styleId="List">
    <w:name w:val="List"/>
    <w:basedOn w:val="Normal"/>
    <w:uiPriority w:val="99"/>
    <w:unhideWhenUsed/>
    <w:rsid w:val="001F3864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2E5496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2E5496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2E549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2E549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2E5496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2E5496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E5496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E5496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E549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E549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E5496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E549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E5496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1F3864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2E5496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2E5496" w:themeColor="accent1"/>
      </w:pBdr>
      <w:spacing w:before="200" w:after="280"/>
      <w:ind w:left="936" w:right="936"/>
    </w:pPr>
    <w:rPr>
      <w:b/>
      <w:bCs/>
      <w:i/>
      <w:iCs/>
      <w:color w:val="2E549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2E5496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2E5496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1F3864" w:themeColor="accent1" w:themeShade="BF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1F3864" w:themeColor="accent4" w:themeShade="BF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2E5496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1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  <w:shd w:val="clear" w:color="auto" w:fill="D9E2F3" w:themeFill="accent1" w:themeFillTint="3F"/>
      </w:tcPr>
    </w:tblStylePr>
    <w:tblStylePr w:type="band2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1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  <w:shd w:val="clear" w:color="auto" w:fill="D9E2F3" w:themeFill="accent4" w:themeFillTint="3F"/>
      </w:tcPr>
    </w:tblStylePr>
    <w:tblStylePr w:type="band2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E5496" w:themeColor="accen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3864" w:themeColor="accent4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E54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E549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E54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E54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F386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386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386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  <w:insideV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549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  <w:insideV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E2F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tcBorders>
          <w:insideH w:val="single" w:sz="6" w:space="0" w:color="2E5496" w:themeColor="accent1"/>
          <w:insideV w:val="single" w:sz="6" w:space="0" w:color="2E5496" w:themeColor="accent1"/>
        </w:tcBorders>
        <w:shd w:val="clear" w:color="auto" w:fill="D9E2F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E2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3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tcBorders>
          <w:insideH w:val="single" w:sz="6" w:space="0" w:color="1F3864" w:themeColor="accent4"/>
          <w:insideV w:val="single" w:sz="6" w:space="0" w:color="1F3864" w:themeColor="accent4"/>
        </w:tcBorders>
        <w:shd w:val="clear" w:color="auto" w:fill="D9E2F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E54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F386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2E5496" w:themeColor="accent1"/>
        <w:bottom w:val="single" w:sz="4" w:space="0" w:color="2E5496" w:themeColor="accent1"/>
        <w:right w:val="single" w:sz="4" w:space="0" w:color="2E5496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1" w:themeShade="99"/>
          <w:insideV w:val="nil"/>
        </w:tcBorders>
        <w:shd w:val="clear" w:color="auto" w:fill="1F38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99"/>
      </w:tcPr>
    </w:tblStylePr>
    <w:tblStylePr w:type="band1Vert">
      <w:tblPr/>
      <w:tcPr>
        <w:shd w:val="clear" w:color="auto" w:fill="D9E2F3" w:themeFill="accent1" w:themeFillTint="66"/>
      </w:tcPr>
    </w:tblStylePr>
    <w:tblStylePr w:type="band1Horz">
      <w:tblPr/>
      <w:tcPr>
        <w:shd w:val="clear" w:color="auto" w:fill="D9E2F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F3864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1F3864" w:themeColor="accent4"/>
        <w:bottom w:val="single" w:sz="4" w:space="0" w:color="1F3864" w:themeColor="accent4"/>
        <w:right w:val="single" w:sz="4" w:space="0" w:color="1F3864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4" w:themeShade="99"/>
          <w:insideV w:val="nil"/>
        </w:tcBorders>
        <w:shd w:val="clear" w:color="auto" w:fill="1F386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99"/>
      </w:tcPr>
    </w:tblStylePr>
    <w:tblStylePr w:type="band1Vert">
      <w:tblPr/>
      <w:tcPr>
        <w:shd w:val="clear" w:color="auto" w:fill="D9E2F3" w:themeFill="accent4" w:themeFillTint="66"/>
      </w:tcPr>
    </w:tblStylePr>
    <w:tblStylePr w:type="band1Horz">
      <w:tblPr/>
      <w:tcPr>
        <w:shd w:val="clear" w:color="auto" w:fill="D9E2F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3864" w:themeFill="accent4" w:themeFillShade="CC"/>
      </w:tcPr>
    </w:tblStylePr>
    <w:tblStylePr w:type="lastRow">
      <w:rPr>
        <w:b/>
        <w:bCs/>
        <w:color w:val="1F386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5496" w:themeFill="accent5" w:themeFillShade="CC"/>
      </w:tcPr>
    </w:tblStylePr>
    <w:tblStylePr w:type="lastRow">
      <w:rPr>
        <w:b/>
        <w:bCs/>
        <w:color w:val="2E549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D9E2F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3"/>
    </w:tcPr>
    <w:tblStylePr w:type="firstRow">
      <w:rPr>
        <w:b/>
        <w:bCs/>
      </w:rPr>
      <w:tblPr/>
      <w:tcPr>
        <w:shd w:val="clear" w:color="auto" w:fill="D9E2F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3864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E549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864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1F3864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2E549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F386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F3864"/>
  </w:style>
  <w:style w:type="paragraph" w:styleId="BodyText2">
    <w:name w:val="Body Text 2"/>
    <w:basedOn w:val="Normal"/>
    <w:link w:val="BodyText2Char"/>
    <w:uiPriority w:val="99"/>
    <w:unhideWhenUsed/>
    <w:rsid w:val="001F386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F3864"/>
  </w:style>
  <w:style w:type="paragraph" w:styleId="BodyText3">
    <w:name w:val="Body Text 3"/>
    <w:basedOn w:val="Normal"/>
    <w:link w:val="BodyText3Char"/>
    <w:uiPriority w:val="99"/>
    <w:unhideWhenUsed/>
    <w:rsid w:val="001F386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F3864"/>
    <w:rPr>
      <w:sz w:val="16"/>
      <w:szCs w:val="16"/>
    </w:rPr>
  </w:style>
  <w:style w:type="paragraph" w:styleId="List">
    <w:name w:val="List"/>
    <w:basedOn w:val="Normal"/>
    <w:uiPriority w:val="99"/>
    <w:unhideWhenUsed/>
    <w:rsid w:val="001F3864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2E5496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2E5496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2E549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2E549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2E5496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2E5496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E5496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E5496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E549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E549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E5496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E549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E5496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1F3864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2E5496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2E5496" w:themeColor="accent1"/>
      </w:pBdr>
      <w:spacing w:before="200" w:after="280"/>
      <w:ind w:left="936" w:right="936"/>
    </w:pPr>
    <w:rPr>
      <w:b/>
      <w:bCs/>
      <w:i/>
      <w:iCs/>
      <w:color w:val="2E549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2E5496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2E5496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1F3864" w:themeColor="accent1" w:themeShade="BF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1F3864" w:themeColor="accent4" w:themeShade="BF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2E5496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1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  <w:shd w:val="clear" w:color="auto" w:fill="D9E2F3" w:themeFill="accent1" w:themeFillTint="3F"/>
      </w:tcPr>
    </w:tblStylePr>
    <w:tblStylePr w:type="band2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1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  <w:shd w:val="clear" w:color="auto" w:fill="D9E2F3" w:themeFill="accent4" w:themeFillTint="3F"/>
      </w:tcPr>
    </w:tblStylePr>
    <w:tblStylePr w:type="band2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E5496" w:themeColor="accen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3864" w:themeColor="accent4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E54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E549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E54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E54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F386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386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386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  <w:insideV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549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  <w:insideV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E2F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tcBorders>
          <w:insideH w:val="single" w:sz="6" w:space="0" w:color="2E5496" w:themeColor="accent1"/>
          <w:insideV w:val="single" w:sz="6" w:space="0" w:color="2E5496" w:themeColor="accent1"/>
        </w:tcBorders>
        <w:shd w:val="clear" w:color="auto" w:fill="D9E2F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E2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3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tcBorders>
          <w:insideH w:val="single" w:sz="6" w:space="0" w:color="1F3864" w:themeColor="accent4"/>
          <w:insideV w:val="single" w:sz="6" w:space="0" w:color="1F3864" w:themeColor="accent4"/>
        </w:tcBorders>
        <w:shd w:val="clear" w:color="auto" w:fill="D9E2F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E54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F386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2E5496" w:themeColor="accent1"/>
        <w:bottom w:val="single" w:sz="4" w:space="0" w:color="2E5496" w:themeColor="accent1"/>
        <w:right w:val="single" w:sz="4" w:space="0" w:color="2E5496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1" w:themeShade="99"/>
          <w:insideV w:val="nil"/>
        </w:tcBorders>
        <w:shd w:val="clear" w:color="auto" w:fill="1F38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99"/>
      </w:tcPr>
    </w:tblStylePr>
    <w:tblStylePr w:type="band1Vert">
      <w:tblPr/>
      <w:tcPr>
        <w:shd w:val="clear" w:color="auto" w:fill="D9E2F3" w:themeFill="accent1" w:themeFillTint="66"/>
      </w:tcPr>
    </w:tblStylePr>
    <w:tblStylePr w:type="band1Horz">
      <w:tblPr/>
      <w:tcPr>
        <w:shd w:val="clear" w:color="auto" w:fill="D9E2F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F3864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1F3864" w:themeColor="accent4"/>
        <w:bottom w:val="single" w:sz="4" w:space="0" w:color="1F3864" w:themeColor="accent4"/>
        <w:right w:val="single" w:sz="4" w:space="0" w:color="1F3864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4" w:themeShade="99"/>
          <w:insideV w:val="nil"/>
        </w:tcBorders>
        <w:shd w:val="clear" w:color="auto" w:fill="1F386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99"/>
      </w:tcPr>
    </w:tblStylePr>
    <w:tblStylePr w:type="band1Vert">
      <w:tblPr/>
      <w:tcPr>
        <w:shd w:val="clear" w:color="auto" w:fill="D9E2F3" w:themeFill="accent4" w:themeFillTint="66"/>
      </w:tcPr>
    </w:tblStylePr>
    <w:tblStylePr w:type="band1Horz">
      <w:tblPr/>
      <w:tcPr>
        <w:shd w:val="clear" w:color="auto" w:fill="D9E2F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3864" w:themeFill="accent4" w:themeFillShade="CC"/>
      </w:tcPr>
    </w:tblStylePr>
    <w:tblStylePr w:type="lastRow">
      <w:rPr>
        <w:b/>
        <w:bCs/>
        <w:color w:val="1F386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5496" w:themeFill="accent5" w:themeFillShade="CC"/>
      </w:tcPr>
    </w:tblStylePr>
    <w:tblStylePr w:type="lastRow">
      <w:rPr>
        <w:b/>
        <w:bCs/>
        <w:color w:val="2E549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D9E2F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3"/>
    </w:tcPr>
    <w:tblStylePr w:type="firstRow">
      <w:rPr>
        <w:b/>
        <w:bCs/>
      </w:rPr>
      <w:tblPr/>
      <w:tcPr>
        <w:shd w:val="clear" w:color="auto" w:fill="D9E2F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SLM">
      <a:dk1>
        <a:srgbClr val="1F2430"/>
      </a:dk1>
      <a:lt1>
        <a:srgbClr val="FFFFFF"/>
      </a:lt1>
      <a:dk2>
        <a:srgbClr val="1F3864"/>
      </a:dk2>
      <a:lt2>
        <a:srgbClr val="D9E2F3"/>
      </a:lt2>
      <a:accent1>
        <a:srgbClr val="1F3864"/>
      </a:accent1>
      <a:accent2>
        <a:srgbClr val="C55A11"/>
      </a:accent2>
      <a:accent3>
        <a:srgbClr val="548235"/>
      </a:accent3>
      <a:accent4>
        <a:srgbClr val="2E5496"/>
      </a:accent4>
      <a:accent5>
        <a:srgbClr val="9DC3E6"/>
      </a:accent5>
      <a:accent6>
        <a:srgbClr val="5B6472"/>
      </a:accent6>
      <a:hlink>
        <a:srgbClr val="2E5496"/>
      </a:hlink>
      <a:folHlink>
        <a:srgbClr val="C55A1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