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val="false"/>
          <w:bCs w:val="false"/>
          <w:i w:val="false"/>
          <w:iCs w:val="false"/>
          <w:color w:val="595959"/>
          <w:sz w:val="18"/>
          <w:szCs w:val="18"/>
        </w:rPr>
        <w:t xml:space="preserve">SSLM · Simple Solution, Low Maintenance</w:t>
      </w:r>
    </w:p>
    <w:p>
      <w:pPr>
        <w:spacing w:after="40"/>
      </w:pPr>
      <w:r>
        <w:rPr>
          <w:rFonts w:ascii="Calibri" w:cs="Calibri" w:eastAsia="Calibri" w:hAnsi="Calibri"/>
          <w:b/>
          <w:bCs/>
          <w:color w:val="1F3864"/>
          <w:sz w:val="36"/>
          <w:szCs w:val="36"/>
        </w:rPr>
        <w:t xml:space="preserve">The Delivery Methodologies Guide</w:t>
      </w:r>
    </w:p>
    <w:p>
      <w:pPr>
        <w:pBdr>
          <w:bottom w:val="single" w:color="1F3864" w:sz="6" w:space="6"/>
        </w:pBdr>
        <w:spacing w:after="200"/>
      </w:pPr>
      <w:r>
        <w:rPr>
          <w:rFonts w:ascii="Calibri" w:cs="Calibri" w:eastAsia="Calibri" w:hAnsi="Calibri"/>
          <w:b w:val="false"/>
          <w:bCs w:val="false"/>
          <w:i/>
          <w:iCs/>
          <w:color w:val="595959"/>
          <w:sz w:val="22"/>
          <w:szCs w:val="22"/>
        </w:rPr>
        <w:t xml:space="preserve">How SSLM works with Waterfall, Agile and value streams</w:t>
      </w:r>
    </w:p>
    <w:p>
      <w:pPr>
        <w:spacing w:after="140" w:line="270"/>
      </w:pPr>
      <w:r>
        <w:rPr>
          <w:rFonts w:ascii="Calibri" w:cs="Calibri" w:eastAsia="Calibri" w:hAnsi="Calibri"/>
          <w:b/>
          <w:bCs/>
          <w:i w:val="false"/>
          <w:iCs w:val="false"/>
          <w:color w:val="1A1A1A"/>
          <w:sz w:val="21"/>
          <w:szCs w:val="21"/>
        </w:rPr>
        <w:t xml:space="preserve">Purpose. </w:t>
      </w:r>
      <w:r>
        <w:rPr>
          <w:rFonts w:ascii="Calibri" w:cs="Calibri" w:eastAsia="Calibri" w:hAnsi="Calibri"/>
          <w:b w:val="false"/>
          <w:bCs w:val="false"/>
          <w:i w:val="false"/>
          <w:iCs w:val="false"/>
          <w:color w:val="1A1A1A"/>
          <w:sz w:val="21"/>
          <w:szCs w:val="21"/>
        </w:rPr>
        <w:t xml:space="preserve">SSLM is methodology-agnostic: it governs how a project is authorised, controlled and reported, without dictating how the work itself is delivered. The same document set and governance rhythm sit over Waterfall, Agile, or a hybrid of the two — and, at scale, over a continuous value stream. This guide explains what stays constant across all of them, and what changes in each, so a team can adopt SSLM without abandoning the delivery method it already uses.</w:t>
      </w:r>
    </w:p>
    <w:p>
      <w:pPr>
        <w:spacing w:after="140" w:line="270"/>
      </w:pPr>
      <w:r>
        <w:rPr>
          <w:rFonts w:ascii="Calibri" w:cs="Calibri" w:eastAsia="Calibri" w:hAnsi="Calibri"/>
          <w:b/>
          <w:bCs/>
          <w:i w:val="false"/>
          <w:iCs w:val="false"/>
          <w:color w:val="1A1A1A"/>
          <w:sz w:val="21"/>
          <w:szCs w:val="21"/>
        </w:rPr>
        <w:t xml:space="preserve">What’s inside: </w:t>
      </w:r>
      <w:r>
        <w:rPr>
          <w:rFonts w:ascii="Calibri" w:cs="Calibri" w:eastAsia="Calibri" w:hAnsi="Calibri"/>
          <w:b w:val="false"/>
          <w:bCs w:val="false"/>
          <w:i w:val="false"/>
          <w:iCs w:val="false"/>
          <w:color w:val="1A1A1A"/>
          <w:sz w:val="21"/>
          <w:szCs w:val="21"/>
        </w:rPr>
        <w:t xml:space="preserve">the governing idea, what SSLM improves for each method, the constants that never change, how SSLM renders under Waterfall, Agile and a value stream, the hybrid case, an at-a-glance comparison, and a worked example.</w:t>
      </w:r>
    </w:p>
    <w:p>
      <w:pPr>
        <w:pStyle w:val="Heading1"/>
        <w:spacing w:after="120" w:before="260"/>
      </w:pPr>
      <w:r>
        <w:rPr>
          <w:rFonts w:ascii="Calibri" w:cs="Calibri" w:eastAsia="Calibri" w:hAnsi="Calibri"/>
          <w:b/>
          <w:bCs/>
          <w:color w:val="1F3864"/>
          <w:sz w:val="25"/>
          <w:szCs w:val="25"/>
        </w:rPr>
        <w:t xml:space="preserve">1. The governing idea — govern the project, not the method</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SSLM draws a line between </w:t>
      </w:r>
      <w:r>
        <w:rPr>
          <w:rFonts w:ascii="Calibri" w:cs="Calibri" w:eastAsia="Calibri" w:hAnsi="Calibri"/>
          <w:b/>
          <w:bCs/>
          <w:i w:val="false"/>
          <w:iCs w:val="false"/>
          <w:color w:val="1A1A1A"/>
          <w:sz w:val="21"/>
          <w:szCs w:val="21"/>
        </w:rPr>
        <w:t xml:space="preserve">governance</w:t>
      </w:r>
      <w:r>
        <w:rPr>
          <w:rFonts w:ascii="Calibri" w:cs="Calibri" w:eastAsia="Calibri" w:hAnsi="Calibri"/>
          <w:b w:val="false"/>
          <w:bCs w:val="false"/>
          <w:i w:val="false"/>
          <w:iCs w:val="false"/>
          <w:color w:val="1A1A1A"/>
          <w:sz w:val="21"/>
          <w:szCs w:val="21"/>
        </w:rPr>
        <w:t xml:space="preserve"> (how a project is authorised, controlled and reported) and </w:t>
      </w:r>
      <w:r>
        <w:rPr>
          <w:rFonts w:ascii="Calibri" w:cs="Calibri" w:eastAsia="Calibri" w:hAnsi="Calibri"/>
          <w:b/>
          <w:bCs/>
          <w:i w:val="false"/>
          <w:iCs w:val="false"/>
          <w:color w:val="1A1A1A"/>
          <w:sz w:val="21"/>
          <w:szCs w:val="21"/>
        </w:rPr>
        <w:t xml:space="preserve">delivery</w:t>
      </w:r>
      <w:r>
        <w:rPr>
          <w:rFonts w:ascii="Calibri" w:cs="Calibri" w:eastAsia="Calibri" w:hAnsi="Calibri"/>
          <w:b w:val="false"/>
          <w:bCs w:val="false"/>
          <w:i w:val="false"/>
          <w:iCs w:val="false"/>
          <w:color w:val="1A1A1A"/>
          <w:sz w:val="21"/>
          <w:szCs w:val="21"/>
        </w:rPr>
        <w:t xml:space="preserve"> (how the work is actually done between the gates). SSLM owns the first and stays deliberately silent on the second.</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delivery method is a per-project choice, declared at Green Light and recorded in the Project Closure &amp; Handover Report (“Methodology selected”). SSLM does not mandate one — see the SOP, §1.3 and §2.1.</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Two principles make this work: </w:t>
      </w:r>
      <w:r>
        <w:rPr>
          <w:rFonts w:ascii="Calibri" w:cs="Calibri" w:eastAsia="Calibri" w:hAnsi="Calibri"/>
          <w:b/>
          <w:bCs/>
          <w:i w:val="false"/>
          <w:iCs w:val="false"/>
          <w:color w:val="1A1A1A"/>
          <w:sz w:val="21"/>
          <w:szCs w:val="21"/>
        </w:rPr>
        <w:t xml:space="preserve">Fit for purpose</w:t>
      </w:r>
      <w:r>
        <w:rPr>
          <w:rFonts w:ascii="Calibri" w:cs="Calibri" w:eastAsia="Calibri" w:hAnsi="Calibri"/>
          <w:b w:val="false"/>
          <w:bCs w:val="false"/>
          <w:i w:val="false"/>
          <w:iCs w:val="false"/>
          <w:color w:val="1A1A1A"/>
          <w:sz w:val="21"/>
          <w:szCs w:val="21"/>
        </w:rPr>
        <w:t xml:space="preserve"> (Principle 3) — use the least process that suits the work; and </w:t>
      </w:r>
      <w:r>
        <w:rPr>
          <w:rFonts w:ascii="Calibri" w:cs="Calibri" w:eastAsia="Calibri" w:hAnsi="Calibri"/>
          <w:b/>
          <w:bCs/>
          <w:i w:val="false"/>
          <w:iCs w:val="false"/>
          <w:color w:val="1A1A1A"/>
          <w:sz w:val="21"/>
          <w:szCs w:val="21"/>
        </w:rPr>
        <w:t xml:space="preserve">Learn and improve</w:t>
      </w:r>
      <w:r>
        <w:rPr>
          <w:rFonts w:ascii="Calibri" w:cs="Calibri" w:eastAsia="Calibri" w:hAnsi="Calibri"/>
          <w:b w:val="false"/>
          <w:bCs w:val="false"/>
          <w:i w:val="false"/>
          <w:iCs w:val="false"/>
          <w:color w:val="1A1A1A"/>
          <w:sz w:val="21"/>
          <w:szCs w:val="21"/>
        </w:rPr>
        <w:t xml:space="preserve"> (Principle 11) — the team reflects on whatever cadence its method already uses (a stage-end review, a sprint retrospective, a flow retrospective), rather than SSLM adding a new ritual.</w:t>
      </w:r>
    </w:p>
    <w:p>
      <w:pPr>
        <w:pStyle w:val="Heading1"/>
        <w:spacing w:after="120" w:before="260"/>
      </w:pPr>
      <w:r>
        <w:rPr>
          <w:rFonts w:ascii="Calibri" w:cs="Calibri" w:eastAsia="Calibri" w:hAnsi="Calibri"/>
          <w:b/>
          <w:bCs/>
          <w:color w:val="1F3864"/>
          <w:sz w:val="25"/>
          <w:szCs w:val="25"/>
        </w:rPr>
        <w:t xml:space="preserve">2. What SSLM improves, by method</w:t>
      </w:r>
    </w:p>
    <w:p>
      <w:pPr>
        <w:spacing w:after="140" w:before="0" w:line="270"/>
      </w:pPr>
      <w:r>
        <w:rPr>
          <w:rFonts w:ascii="Calibri" w:cs="Calibri" w:eastAsia="Calibri" w:hAnsi="Calibri"/>
          <w:b w:val="false"/>
          <w:bCs w:val="false"/>
          <w:i w:val="false"/>
          <w:iCs w:val="false"/>
          <w:color w:val="1A1A1A"/>
          <w:sz w:val="21"/>
          <w:szCs w:val="21"/>
        </w:rPr>
        <w:t xml:space="preserve">SSLM leaves each method’s delivery mechanics alone and fixes the governance failure that method is prone to:</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1500"/>
        <w:gridCol w:w="3550"/>
        <w:gridCol w:w="465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Method</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Common failure mode</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What SSLM adds</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Waterfall</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Slippage hidden behind an optimistic “green” until late.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Critical-path plan surfaces real slippage early; RAG from the worst key milestone with the real colour reported; assurance re-tests the business case at every gate, not just at approval.</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Agile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Hard to govern or roll up to a board; scope drift; benefits unmeasured.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thin governance skin over the team’s own delivery — re-prioritising the backlog inside the baseline needs no change request; telemetry stays with the team; benefits are still baselined and checked.</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Value stream</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Boards drown in flow metrics; funding continues on autopilot.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An altitude break — the board sees five decision elements, not telemetry; the Executive Stream One-Pager keeps streams honest and comparable; investment is reviewed fund / hold / stop.</w:t>
            </w:r>
          </w:p>
        </w:tc>
      </w:tr>
    </w:tbl>
    <w:p>
      <w:pPr>
        <w:spacing w:after="120"/>
      </w:pPr>
    </w:p>
    <w:p>
      <w:pPr>
        <w:pStyle w:val="Heading1"/>
        <w:spacing w:after="120" w:before="260"/>
      </w:pPr>
      <w:r>
        <w:rPr>
          <w:rFonts w:ascii="Calibri" w:cs="Calibri" w:eastAsia="Calibri" w:hAnsi="Calibri"/>
          <w:b/>
          <w:bCs/>
          <w:color w:val="1F3864"/>
          <w:sz w:val="25"/>
          <w:szCs w:val="25"/>
        </w:rPr>
        <w:t xml:space="preserve">3. What stays the same in every method</w:t>
      </w:r>
    </w:p>
    <w:p>
      <w:pPr>
        <w:spacing w:after="140" w:before="0" w:line="270"/>
      </w:pPr>
      <w:r>
        <w:rPr>
          <w:rFonts w:ascii="Calibri" w:cs="Calibri" w:eastAsia="Calibri" w:hAnsi="Calibri"/>
          <w:b w:val="false"/>
          <w:bCs w:val="false"/>
          <w:i w:val="false"/>
          <w:iCs w:val="false"/>
          <w:color w:val="1A1A1A"/>
          <w:sz w:val="21"/>
          <w:szCs w:val="21"/>
        </w:rPr>
        <w:t xml:space="preserve">Whatever the delivery method, these constants hold — they are what let anyone reconstruct a project along one critical path:</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One </w:t>
      </w:r>
      <w:r>
        <w:rPr>
          <w:rFonts w:ascii="Calibri" w:cs="Calibri" w:eastAsia="Calibri" w:hAnsi="Calibri"/>
          <w:b/>
          <w:bCs/>
          <w:i w:val="false"/>
          <w:iCs w:val="false"/>
          <w:color w:val="1A1A1A"/>
          <w:sz w:val="21"/>
          <w:szCs w:val="21"/>
        </w:rPr>
        <w:t xml:space="preserve">Project Reference</w:t>
      </w:r>
      <w:r>
        <w:rPr>
          <w:rFonts w:ascii="Calibri" w:cs="Calibri" w:eastAsia="Calibri" w:hAnsi="Calibri"/>
          <w:b w:val="false"/>
          <w:bCs w:val="false"/>
          <w:i w:val="false"/>
          <w:iCs w:val="false"/>
          <w:color w:val="1A1A1A"/>
          <w:sz w:val="21"/>
          <w:szCs w:val="21"/>
        </w:rPr>
        <w:t xml:space="preserve"> (YYYY-NNN) threading every document.</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One </w:t>
      </w:r>
      <w:r>
        <w:rPr>
          <w:rFonts w:ascii="Calibri" w:cs="Calibri" w:eastAsia="Calibri" w:hAnsi="Calibri"/>
          <w:b/>
          <w:bCs/>
          <w:i w:val="false"/>
          <w:iCs w:val="false"/>
          <w:color w:val="1A1A1A"/>
          <w:sz w:val="21"/>
          <w:szCs w:val="21"/>
        </w:rPr>
        <w:t xml:space="preserve">Project Plan &amp; Schedule</w:t>
      </w:r>
      <w:r>
        <w:rPr>
          <w:rFonts w:ascii="Calibri" w:cs="Calibri" w:eastAsia="Calibri" w:hAnsi="Calibri"/>
          <w:b w:val="false"/>
          <w:bCs w:val="false"/>
          <w:i w:val="false"/>
          <w:iCs w:val="false"/>
          <w:color w:val="1A1A1A"/>
          <w:sz w:val="21"/>
          <w:szCs w:val="21"/>
        </w:rPr>
        <w:t xml:space="preserve"> as the milestone spine, sequenced to the critical path, each milestone set to a Level (1–5) that fixes its reporting altitude (Principles 4 and 6).</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One </w:t>
      </w:r>
      <w:r>
        <w:rPr>
          <w:rFonts w:ascii="Calibri" w:cs="Calibri" w:eastAsia="Calibri" w:hAnsi="Calibri"/>
          <w:b/>
          <w:bCs/>
          <w:i w:val="false"/>
          <w:iCs w:val="false"/>
          <w:color w:val="1A1A1A"/>
          <w:sz w:val="21"/>
          <w:szCs w:val="21"/>
        </w:rPr>
        <w:t xml:space="preserve">RAID and Tracker Logs</w:t>
      </w:r>
      <w:r>
        <w:rPr>
          <w:rFonts w:ascii="Calibri" w:cs="Calibri" w:eastAsia="Calibri" w:hAnsi="Calibri"/>
          <w:b w:val="false"/>
          <w:bCs w:val="false"/>
          <w:i w:val="false"/>
          <w:iCs w:val="false"/>
          <w:color w:val="1A1A1A"/>
          <w:sz w:val="21"/>
          <w:szCs w:val="21"/>
        </w:rPr>
        <w:t xml:space="preserve"> workbook — risks, issues, decisions, actions, dependencies and the Backlog — with every item linked to a milestone.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One </w:t>
      </w:r>
      <w:r>
        <w:rPr>
          <w:rFonts w:ascii="Calibri" w:cs="Calibri" w:eastAsia="Calibri" w:hAnsi="Calibri"/>
          <w:b/>
          <w:bCs/>
          <w:i w:val="false"/>
          <w:iCs w:val="false"/>
          <w:color w:val="1A1A1A"/>
          <w:sz w:val="21"/>
          <w:szCs w:val="21"/>
        </w:rPr>
        <w:t xml:space="preserve">reporting chain</w:t>
      </w:r>
      <w:r>
        <w:rPr>
          <w:rFonts w:ascii="Calibri" w:cs="Calibri" w:eastAsia="Calibri" w:hAnsi="Calibri"/>
          <w:b w:val="false"/>
          <w:bCs w:val="false"/>
          <w:i w:val="false"/>
          <w:iCs w:val="false"/>
          <w:color w:val="1A1A1A"/>
          <w:sz w:val="21"/>
          <w:szCs w:val="21"/>
        </w:rPr>
        <w:t xml:space="preserve"> — Weekly Update → Monthly Report to BoM → Portfolio Roll-up — on a fixed template and cadence, RAG rolling up from the worst Level 1–2 milestone.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Five </w:t>
      </w:r>
      <w:r>
        <w:rPr>
          <w:rFonts w:ascii="Calibri" w:cs="Calibri" w:eastAsia="Calibri" w:hAnsi="Calibri"/>
          <w:b/>
          <w:bCs/>
          <w:i w:val="false"/>
          <w:iCs w:val="false"/>
          <w:color w:val="1A1A1A"/>
          <w:sz w:val="21"/>
          <w:szCs w:val="21"/>
        </w:rPr>
        <w:t xml:space="preserve">stage gates</w:t>
      </w:r>
      <w:r>
        <w:rPr>
          <w:rFonts w:ascii="Calibri" w:cs="Calibri" w:eastAsia="Calibri" w:hAnsi="Calibri"/>
          <w:b w:val="false"/>
          <w:bCs w:val="false"/>
          <w:i w:val="false"/>
          <w:iCs w:val="false"/>
          <w:color w:val="1A1A1A"/>
          <w:sz w:val="21"/>
          <w:szCs w:val="21"/>
        </w:rPr>
        <w:t xml:space="preserve"> — Green Light, Design sign-off, Build complete, Go-Live, and Post Go-Live closure — where the deeper Risk and Assurance assessments apply.</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One </w:t>
      </w:r>
      <w:r>
        <w:rPr>
          <w:rFonts w:ascii="Calibri" w:cs="Calibri" w:eastAsia="Calibri" w:hAnsi="Calibri"/>
          <w:b/>
          <w:bCs/>
          <w:i w:val="false"/>
          <w:iCs w:val="false"/>
          <w:color w:val="1A1A1A"/>
          <w:sz w:val="21"/>
          <w:szCs w:val="21"/>
        </w:rPr>
        <w:t xml:space="preserve">change rule</w:t>
      </w:r>
      <w:r>
        <w:rPr>
          <w:rFonts w:ascii="Calibri" w:cs="Calibri" w:eastAsia="Calibri" w:hAnsi="Calibri"/>
          <w:b w:val="false"/>
          <w:bCs w:val="false"/>
          <w:i w:val="false"/>
          <w:iCs w:val="false"/>
          <w:color w:val="1A1A1A"/>
          <w:sz w:val="21"/>
          <w:szCs w:val="21"/>
        </w:rPr>
        <w:t xml:space="preserve"> — a Change Request is raised only when the approved scope, budget, timeline or a deliverable changes; day-to-day re-planning inside the baseline is not a CR.</w:t>
      </w:r>
    </w:p>
    <w:p>
      <w:pPr>
        <w:spacing w:after="140" w:before="0" w:line="270"/>
      </w:pPr>
      <w:r>
        <w:rPr>
          <w:rFonts w:ascii="Calibri" w:cs="Calibri" w:eastAsia="Calibri" w:hAnsi="Calibri"/>
          <w:b w:val="false"/>
          <w:bCs w:val="false"/>
          <w:i w:val="false"/>
          <w:iCs w:val="false"/>
          <w:color w:val="1A1A1A"/>
          <w:sz w:val="21"/>
          <w:szCs w:val="21"/>
        </w:rPr>
        <w:t xml:space="preserve">What changes between methods is only how the work flows between the gates, and what a “milestone” represents.</w:t>
      </w:r>
    </w:p>
    <w:p>
      <w:pPr>
        <w:pStyle w:val="Heading1"/>
        <w:spacing w:after="120" w:before="260"/>
      </w:pPr>
      <w:r>
        <w:rPr>
          <w:rFonts w:ascii="Calibri" w:cs="Calibri" w:eastAsia="Calibri" w:hAnsi="Calibri"/>
          <w:b/>
          <w:bCs/>
          <w:color w:val="1F3864"/>
          <w:sz w:val="25"/>
          <w:szCs w:val="25"/>
        </w:rPr>
        <w:t xml:space="preserve">4. Waterfall</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Waterfall is SSLM’s most literal reading. The lifecycle phases — Scoping, Requirements, Design, Build, Test, Roll Out, Go-Live — run in sequence, and milestones are phase completions.</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stage gates fall naturally on the phase boundaries: Design sign-off closes Design, Build complete closes Build, and so on.</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Project Plan is a dependency-sequenced schedule to the critical path; the RAID log, Weekly Update and SteerCo run exactly as the core pack describes. Reflection happens at each stage-end review.</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Nothing special is needed: </w:t>
      </w:r>
      <w:r>
        <w:rPr>
          <w:rFonts w:ascii="Calibri" w:cs="Calibri" w:eastAsia="Calibri" w:hAnsi="Calibri"/>
          <w:b/>
          <w:bCs/>
          <w:i w:val="false"/>
          <w:iCs w:val="false"/>
          <w:color w:val="1A1A1A"/>
          <w:sz w:val="21"/>
          <w:szCs w:val="21"/>
        </w:rPr>
        <w:t xml:space="preserve">the document library reads as Waterfall out of the box.</w:t>
      </w:r>
    </w:p>
    <w:p>
      <w:pPr>
        <w:pStyle w:val="Heading1"/>
        <w:spacing w:after="120" w:before="260"/>
      </w:pPr>
      <w:r>
        <w:rPr>
          <w:rFonts w:ascii="Calibri" w:cs="Calibri" w:eastAsia="Calibri" w:hAnsi="Calibri"/>
          <w:b/>
          <w:bCs/>
          <w:color w:val="1F3864"/>
          <w:sz w:val="25"/>
          <w:szCs w:val="25"/>
        </w:rPr>
        <w:t xml:space="preserve">5. Agile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lifecycle still frames the project, but Build and Test become iterative, and delivery is pulled from a backlog rather than pushed through a fixed plan.</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w:t>
      </w:r>
      <w:r>
        <w:rPr>
          <w:rFonts w:ascii="Calibri" w:cs="Calibri" w:eastAsia="Calibri" w:hAnsi="Calibri"/>
          <w:b/>
          <w:bCs/>
          <w:i w:val="false"/>
          <w:iCs w:val="false"/>
          <w:color w:val="1A1A1A"/>
          <w:sz w:val="21"/>
          <w:szCs w:val="21"/>
        </w:rPr>
        <w:t xml:space="preserve">Backlog tab</w:t>
      </w:r>
      <w:r>
        <w:rPr>
          <w:rFonts w:ascii="Calibri" w:cs="Calibri" w:eastAsia="Calibri" w:hAnsi="Calibri"/>
          <w:b w:val="false"/>
          <w:bCs w:val="false"/>
          <w:i w:val="false"/>
          <w:iCs w:val="false"/>
          <w:color w:val="1A1A1A"/>
          <w:sz w:val="21"/>
          <w:szCs w:val="21"/>
        </w:rPr>
        <w:t xml:space="preserve"> in the RAID and Tracker Logs (BL###) holds the backlog; items are pulled into the team’s own sprint board, which sits below the SSLM reporting line.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Milestones become </w:t>
      </w:r>
      <w:r>
        <w:rPr>
          <w:rFonts w:ascii="Calibri" w:cs="Calibri" w:eastAsia="Calibri" w:hAnsi="Calibri"/>
          <w:b/>
          <w:bCs/>
          <w:i w:val="false"/>
          <w:iCs w:val="false"/>
          <w:color w:val="1A1A1A"/>
          <w:sz w:val="21"/>
          <w:szCs w:val="21"/>
        </w:rPr>
        <w:t xml:space="preserve">releases or increments</w:t>
      </w:r>
      <w:r>
        <w:rPr>
          <w:rFonts w:ascii="Calibri" w:cs="Calibri" w:eastAsia="Calibri" w:hAnsi="Calibri"/>
          <w:b w:val="false"/>
          <w:bCs w:val="false"/>
          <w:i w:val="false"/>
          <w:iCs w:val="false"/>
          <w:color w:val="1A1A1A"/>
          <w:sz w:val="21"/>
          <w:szCs w:val="21"/>
        </w:rPr>
        <w:t xml:space="preserve">, not phase-ends — one milestone per release, its Level set by how far up it needs to report. The Project Plan stays a milestone spine, not a task list; the sprint detail lives in the team’s tool.</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Cadence: the Weekly Update continues weekly (often aligned to the sprint boundary); the retrospective is the team’s sprint retro, not a new SSLM artefact (Principle 11).</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Change control: re-prioritising the backlog </w:t>
      </w:r>
      <w:r>
        <w:rPr>
          <w:rFonts w:ascii="Calibri" w:cs="Calibri" w:eastAsia="Calibri" w:hAnsi="Calibri"/>
          <w:b w:val="false"/>
          <w:bCs w:val="false"/>
          <w:i/>
          <w:iCs/>
          <w:color w:val="1A1A1A"/>
          <w:sz w:val="21"/>
          <w:szCs w:val="21"/>
        </w:rPr>
        <w:t xml:space="preserve">inside</w:t>
      </w:r>
      <w:r>
        <w:rPr>
          <w:rFonts w:ascii="Calibri" w:cs="Calibri" w:eastAsia="Calibri" w:hAnsi="Calibri"/>
          <w:b w:val="false"/>
          <w:bCs w:val="false"/>
          <w:i w:val="false"/>
          <w:iCs w:val="false"/>
          <w:color w:val="1A1A1A"/>
          <w:sz w:val="21"/>
          <w:szCs w:val="21"/>
        </w:rPr>
        <w:t xml:space="preserve"> the approved baseline is normal Agile and needs no CR. A CR is raised only if a change moves the baselined scope, budget, timeline or a committed deliverable.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Gates still apply: Green Light authorises; Design sign-off and Build complete map to “architecture agreed” and “release-ready / definition-of-done” points; Assurance and Health-Check run at release boundaries.</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one discipline: </w:t>
      </w:r>
      <w:r>
        <w:rPr>
          <w:rFonts w:ascii="Calibri" w:cs="Calibri" w:eastAsia="Calibri" w:hAnsi="Calibri"/>
          <w:b/>
          <w:bCs/>
          <w:i w:val="false"/>
          <w:iCs w:val="false"/>
          <w:color w:val="1A1A1A"/>
          <w:sz w:val="21"/>
          <w:szCs w:val="21"/>
        </w:rPr>
        <w:t xml:space="preserve">agile telemetry (burn-down, velocity, WIP) stays with the team</w:t>
      </w:r>
      <w:r>
        <w:rPr>
          <w:rFonts w:ascii="Calibri" w:cs="Calibri" w:eastAsia="Calibri" w:hAnsi="Calibri"/>
          <w:b w:val="false"/>
          <w:bCs w:val="false"/>
          <w:i w:val="false"/>
          <w:iCs w:val="false"/>
          <w:color w:val="1A1A1A"/>
          <w:sz w:val="21"/>
          <w:szCs w:val="21"/>
        </w:rPr>
        <w:t xml:space="preserve"> and feeds the milestone and RAID roll-up — it does not go raw to the SteerCo.</w:t>
      </w:r>
    </w:p>
    <w:p>
      <w:pPr>
        <w:pStyle w:val="Heading1"/>
        <w:spacing w:after="120" w:before="260"/>
      </w:pPr>
      <w:r>
        <w:rPr>
          <w:rFonts w:ascii="Calibri" w:cs="Calibri" w:eastAsia="Calibri" w:hAnsi="Calibri"/>
          <w:b/>
          <w:bCs/>
          <w:color w:val="1F3864"/>
          <w:sz w:val="25"/>
          <w:szCs w:val="25"/>
        </w:rPr>
        <w:t xml:space="preserve">6. Value stream (Enterprise Extension, Tier 3–4)</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A value stream is continuous flow governed above team level — the point at which SSLM steps up to Tier 3–4 and the Enterprise Extension is picked up (a real trigger under Principle 8).</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An </w:t>
      </w:r>
      <w:r>
        <w:rPr>
          <w:rFonts w:ascii="Calibri" w:cs="Calibri" w:eastAsia="Calibri" w:hAnsi="Calibri"/>
          <w:b/>
          <w:bCs/>
          <w:i w:val="false"/>
          <w:iCs w:val="false"/>
          <w:color w:val="1A1A1A"/>
          <w:sz w:val="21"/>
          <w:szCs w:val="21"/>
        </w:rPr>
        <w:t xml:space="preserve">altitude break</w:t>
      </w:r>
      <w:r>
        <w:rPr>
          <w:rFonts w:ascii="Calibri" w:cs="Calibri" w:eastAsia="Calibri" w:hAnsi="Calibri"/>
          <w:b w:val="false"/>
          <w:bCs w:val="false"/>
          <w:i w:val="false"/>
          <w:iCs w:val="false"/>
          <w:color w:val="1A1A1A"/>
          <w:sz w:val="21"/>
          <w:szCs w:val="21"/>
        </w:rPr>
        <w:t xml:space="preserve"> sits at the development/operational line. Below it, the manager works in flow — backlog, WIP, velocity, lead time. Above it, the board sees only the five executive elements: </w:t>
      </w:r>
      <w:r>
        <w:rPr>
          <w:rFonts w:ascii="Calibri" w:cs="Calibri" w:eastAsia="Calibri" w:hAnsi="Calibri"/>
          <w:b/>
          <w:bCs/>
          <w:i w:val="false"/>
          <w:iCs w:val="false"/>
          <w:color w:val="1A1A1A"/>
          <w:sz w:val="21"/>
          <w:szCs w:val="21"/>
        </w:rPr>
        <w:t xml:space="preserve">Alignment, Confidence, Constraint, Value, Investment.</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The Executive Stream One-Pager carries those five elements; the manager derives it once per governance cycle from the weekly flow, never re-authored — see the Flow-to-Executive Translation Guide.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Roll-up is </w:t>
      </w:r>
      <w:r>
        <w:rPr>
          <w:rFonts w:ascii="Calibri" w:cs="Calibri" w:eastAsia="Calibri" w:hAnsi="Calibri"/>
          <w:b/>
          <w:bCs/>
          <w:i w:val="false"/>
          <w:iCs w:val="false"/>
          <w:color w:val="1A1A1A"/>
          <w:sz w:val="21"/>
          <w:szCs w:val="21"/>
        </w:rPr>
        <w:t xml:space="preserve">fractal</w:t>
      </w:r>
      <w:r>
        <w:rPr>
          <w:rFonts w:ascii="Calibri" w:cs="Calibri" w:eastAsia="Calibri" w:hAnsi="Calibri"/>
          <w:b w:val="false"/>
          <w:bCs w:val="false"/>
          <w:i w:val="false"/>
          <w:iCs w:val="false"/>
          <w:color w:val="1A1A1A"/>
          <w:sz w:val="21"/>
          <w:szCs w:val="21"/>
        </w:rPr>
        <w:t xml:space="preserve">: what a milestone is to a project, a project is to a program and a program is to a portfolio. The same instruments — RAID, the weekly/monthly/board reports, the PTIP, the Benefit Register — are simply pointed a level up.</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Principle 2 (Report the real colour) becomes the integrity check: no element crosses the altitude line unless it traces to a real flow signal in one line.</w:t>
      </w:r>
    </w:p>
    <w:p>
      <w:pPr>
        <w:pStyle w:val="Heading1"/>
        <w:spacing w:after="120" w:before="260"/>
      </w:pPr>
      <w:r>
        <w:rPr>
          <w:rFonts w:ascii="Calibri" w:cs="Calibri" w:eastAsia="Calibri" w:hAnsi="Calibri"/>
          <w:b/>
          <w:bCs/>
          <w:color w:val="1F3864"/>
          <w:sz w:val="25"/>
          <w:szCs w:val="25"/>
        </w:rPr>
        <w:t xml:space="preserve">7. The hybrid case — the common one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Most real projects are hybrid: a Waterfall spine with an Agile middle — for example, a firm Design sign-off gate followed by iterative Build and Test. SSLM supports this directly, because the gates and the reporting spine are fixed points while the delivery mechanics between them are the team’s choice.</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Declare the blend at Green Light and record it in the Closure Report’s methodology fields. The worked example below is itself a hybrid.</w:t>
      </w:r>
    </w:p>
    <w:p>
      <w:pPr>
        <w:pStyle w:val="Heading1"/>
        <w:spacing w:after="120" w:before="260"/>
      </w:pPr>
      <w:r>
        <w:rPr>
          <w:rFonts w:ascii="Calibri" w:cs="Calibri" w:eastAsia="Calibri" w:hAnsi="Calibri"/>
          <w:b/>
          <w:bCs/>
          <w:color w:val="1F3864"/>
          <w:sz w:val="25"/>
          <w:szCs w:val="25"/>
        </w:rPr>
        <w:t xml:space="preserve">8. At a glance</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2260"/>
        <w:gridCol w:w="2482"/>
        <w:gridCol w:w="2482"/>
        <w:gridCol w:w="2482"/>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SSLM mechanic</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Waterfall</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Agile</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7"/>
                <w:szCs w:val="17"/>
              </w:rPr>
              <w:t xml:space="preserve">Value stream</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A “milestone” is…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phase completion</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release or increment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stream commitment / release</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The plan spine is…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sequenced phase schedule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milestone (release) spine over a backlog</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A flow view rolled up to stream level</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The backlog lives…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Not typically used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Backlog tab (BL###) → team sprint board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Team flow, below the altitude line</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Reflection cadence (Principle 11)</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Stage-end review</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Sprint retrospective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Flow retrospective</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Change control</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CR on any baseline change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Re-prioritise freely inside baseline; CR only on a baseline change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CR / re-scope decision at stream level</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Reporting</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Weekly → Monthly → Portfolio; RAG from worst L1–2 milestone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Same — milestone = release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Executive Stream One-Pager (5 elements); fractal roll-up</w:t>
            </w:r>
          </w:p>
        </w:tc>
      </w:tr>
      <w:tr>
        <w:trPr>
          <w:tblHeader w:val="false"/>
        </w:trPr>
        <w:tc>
          <w:tcPr>
            <w:tcW w:type="auto" w:w="0"/>
            <w:tcMar>
              <w:top w:type="dxa" w:w="50"/>
              <w:left w:type="dxa" w:w="90"/>
              <w:bottom w:type="dxa" w:w="50"/>
              <w:right w:type="dxa" w:w="90"/>
            </w:tcMar>
          </w:tcPr>
          <w:p>
            <w:pPr>
              <w:spacing w:after="0" w:line="248"/>
            </w:pPr>
            <w:r>
              <w:rPr>
                <w:rFonts w:ascii="Calibri" w:cs="Calibri" w:eastAsia="Calibri" w:hAnsi="Calibri"/>
                <w:b/>
                <w:bCs/>
                <w:color w:val="1A1A1A"/>
                <w:sz w:val="17"/>
                <w:szCs w:val="17"/>
              </w:rPr>
              <w:t xml:space="preserve">Where it scales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Tier 1–2</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Tier 1–2</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7"/>
                <w:szCs w:val="17"/>
              </w:rPr>
              <w:t xml:space="preserve">Tier 3–4 (Enterprise Extension)</w:t>
            </w:r>
          </w:p>
        </w:tc>
      </w:tr>
    </w:tbl>
    <w:p>
      <w:pPr>
        <w:spacing w:after="120"/>
      </w:pPr>
    </w:p>
    <w:p>
      <w:pPr>
        <w:pStyle w:val="Heading1"/>
        <w:spacing w:after="120" w:before="260"/>
      </w:pPr>
      <w:r>
        <w:rPr>
          <w:rFonts w:ascii="Calibri" w:cs="Calibri" w:eastAsia="Calibri" w:hAnsi="Calibri"/>
          <w:b/>
          <w:bCs/>
          <w:color w:val="1F3864"/>
          <w:sz w:val="25"/>
          <w:szCs w:val="25"/>
        </w:rPr>
        <w:t xml:space="preserve">9. Worked example — Customer Portal Launch (2026-001)</w:t>
      </w:r>
    </w:p>
    <w:p>
      <w:pPr>
        <w:pStyle w:val="ListParagraph"/>
        <w:numPr>
          <w:ilvl w:val="0"/>
          <w:numId w:val="1"/>
        </w:numPr>
        <w:spacing w:after="70" w:line="264"/>
      </w:pPr>
      <w:r>
        <w:rPr>
          <w:rFonts w:ascii="Calibri" w:cs="Calibri" w:eastAsia="Calibri" w:hAnsi="Calibri"/>
          <w:b/>
          <w:bCs/>
          <w:i w:val="false"/>
          <w:iCs w:val="false"/>
          <w:color w:val="1A1A1A"/>
          <w:sz w:val="21"/>
          <w:szCs w:val="21"/>
        </w:rPr>
        <w:t xml:space="preserve">As Waterfall: </w:t>
      </w:r>
      <w:r>
        <w:rPr>
          <w:rFonts w:ascii="Calibri" w:cs="Calibri" w:eastAsia="Calibri" w:hAnsi="Calibri"/>
          <w:b w:val="false"/>
          <w:bCs w:val="false"/>
          <w:i w:val="false"/>
          <w:iCs w:val="false"/>
          <w:color w:val="1A1A1A"/>
          <w:sz w:val="21"/>
          <w:szCs w:val="21"/>
        </w:rPr>
        <w:t xml:space="preserve">seven milestones (M1 Requirements → M7 Handover) as sequential phase completions; Design sign-off gates M2, Build complete gates M3–M4, Go-Live at M6.</w:t>
      </w:r>
    </w:p>
    <w:p>
      <w:pPr>
        <w:pStyle w:val="ListParagraph"/>
        <w:numPr>
          <w:ilvl w:val="0"/>
          <w:numId w:val="1"/>
        </w:numPr>
        <w:spacing w:after="70" w:line="264"/>
      </w:pPr>
      <w:r>
        <w:rPr>
          <w:rFonts w:ascii="Calibri" w:cs="Calibri" w:eastAsia="Calibri" w:hAnsi="Calibri"/>
          <w:b/>
          <w:bCs/>
          <w:i w:val="false"/>
          <w:iCs w:val="false"/>
          <w:color w:val="1A1A1A"/>
          <w:sz w:val="21"/>
          <w:szCs w:val="21"/>
        </w:rPr>
        <w:t xml:space="preserve">As Agile: </w:t>
      </w:r>
      <w:r>
        <w:rPr>
          <w:rFonts w:ascii="Calibri" w:cs="Calibri" w:eastAsia="Calibri" w:hAnsi="Calibri"/>
          <w:b w:val="false"/>
          <w:bCs w:val="false"/>
          <w:i w:val="false"/>
          <w:iCs w:val="false"/>
          <w:color w:val="1A1A1A"/>
          <w:sz w:val="21"/>
          <w:szCs w:val="21"/>
        </w:rPr>
        <w:t xml:space="preserve">the same outcome delivered as releases — “Portal build” (M3) and “SSO integration” (M4) become increments drawn from the Backlog (BL001…); the team runs sprints with fortnightly retros; the Weekly Update still reports milestone RAG, and CR-01 (the SSO schedule change) is raised only because it moves the baselined Go-Live date — not because the backlog was re-ordered.</w:t>
      </w:r>
    </w:p>
    <w:p>
      <w:pPr>
        <w:pStyle w:val="ListParagraph"/>
        <w:numPr>
          <w:ilvl w:val="0"/>
          <w:numId w:val="1"/>
        </w:numPr>
        <w:spacing w:after="70" w:line="264"/>
      </w:pPr>
      <w:r>
        <w:rPr>
          <w:rFonts w:ascii="Calibri" w:cs="Calibri" w:eastAsia="Calibri" w:hAnsi="Calibri"/>
          <w:b/>
          <w:bCs/>
          <w:i w:val="false"/>
          <w:iCs w:val="false"/>
          <w:color w:val="1A1A1A"/>
          <w:sz w:val="21"/>
          <w:szCs w:val="21"/>
        </w:rPr>
        <w:t xml:space="preserve">Inside a value stream: </w:t>
      </w:r>
      <w:r>
        <w:rPr>
          <w:rFonts w:ascii="Calibri" w:cs="Calibri" w:eastAsia="Calibri" w:hAnsi="Calibri"/>
          <w:b w:val="false"/>
          <w:bCs w:val="false"/>
          <w:i w:val="false"/>
          <w:iCs w:val="false"/>
          <w:color w:val="1A1A1A"/>
          <w:sz w:val="21"/>
          <w:szCs w:val="21"/>
        </w:rPr>
        <w:t xml:space="preserve">were the portal one release within a “Customer Experience” value stream, the stream manager would translate its flow into the Executive Stream One-Pager — Confidence amber (SSO integration behind), Constraint red (vendor gateway) — and the board would decide in those terms, never seeing the team’s velocity chart.</w:t>
      </w:r>
    </w:p>
    <w:p>
      <w:pPr>
        <w:pStyle w:val="Heading1"/>
        <w:spacing w:after="120" w:before="260"/>
      </w:pPr>
      <w:r>
        <w:rPr>
          <w:rFonts w:ascii="Calibri" w:cs="Calibri" w:eastAsia="Calibri" w:hAnsi="Calibri"/>
          <w:b/>
          <w:bCs/>
          <w:color w:val="1F3864"/>
          <w:sz w:val="25"/>
          <w:szCs w:val="25"/>
        </w:rPr>
        <w:t xml:space="preserve">10. Boundaries and where to look next</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SSLM does not replace a delivery method’s own practices — it organises and lightens them. To sit SSLM alongside a mandated method (PRINCE2, PMBOK, SAFe), see Coexistence with Established Methods (Enterprise Extension).</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For the value-stream mechanics, see the Flow-to-Executive Translation Guide and the Executive Stream One-Pager (Enterprise Extension).</w:t>
      </w:r>
    </w:p>
    <w:p>
      <w:pPr>
        <w:pStyle w:val="ListParagraph"/>
        <w:numPr>
          <w:ilvl w:val="0"/>
          <w:numId w:val="1"/>
        </w:numPr>
        <w:spacing w:after="70" w:line="264"/>
      </w:pPr>
      <w:r>
        <w:rPr>
          <w:rFonts w:ascii="Calibri" w:cs="Calibri" w:eastAsia="Calibri" w:hAnsi="Calibri"/>
          <w:b w:val="false"/>
          <w:bCs w:val="false"/>
          <w:i w:val="false"/>
          <w:iCs w:val="false"/>
          <w:color w:val="1A1A1A"/>
          <w:sz w:val="21"/>
          <w:szCs w:val="21"/>
        </w:rPr>
        <w:t xml:space="preserve">For how a change is raised and triaged, see the Change Request &amp; Idea Intake Guide; for the solution-shaping principles that apply regardless of method, see the Design Principles Guide.</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5496"/>
      <w:sz w:val="32"/>
      <w:szCs w:val="32"/>
    </w:rPr>
  </w:style>
  <w:style w:type="paragraph" w:styleId="Heading2">
    <w:name w:val="Heading 2"/>
    <w:basedOn w:val="Normal"/>
    <w:next w:val="Normal"/>
    <w:qFormat/>
    <w:rPr>
      <w:color w:val="2E5496"/>
      <w:sz w:val="26"/>
      <w:szCs w:val="26"/>
    </w:rPr>
  </w:style>
  <w:style w:type="paragraph" w:styleId="Heading3">
    <w:name w:val="Heading 3"/>
    <w:basedOn w:val="Normal"/>
    <w:next w:val="Normal"/>
    <w:qFormat/>
    <w:rPr>
      <w:color w:val="1F3864"/>
      <w:sz w:val="24"/>
      <w:szCs w:val="24"/>
    </w:rPr>
  </w:style>
  <w:style w:type="paragraph" w:styleId="Heading4">
    <w:name w:val="Heading 4"/>
    <w:basedOn w:val="Normal"/>
    <w:next w:val="Normal"/>
    <w:qFormat/>
    <w:rPr>
      <w:i/>
      <w:iCs/>
      <w:color w:val="2E5496"/>
    </w:rPr>
  </w:style>
  <w:style w:type="paragraph" w:styleId="Heading5">
    <w:name w:val="Heading 5"/>
    <w:basedOn w:val="Normal"/>
    <w:next w:val="Normal"/>
    <w:qFormat/>
    <w:rPr>
      <w:color w:val="2E5496"/>
    </w:rPr>
  </w:style>
  <w:style w:type="paragraph" w:styleId="Heading6">
    <w:name w:val="Heading 6"/>
    <w:basedOn w:val="Normal"/>
    <w:next w:val="Normal"/>
    <w:qFormat/>
    <w:rPr>
      <w:color w:val="1F3864"/>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2E5496"/>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2026-07-11T07:19:01.934Z</dcterms:created>
  <dcterms:modified xsi:type="dcterms:W3CDTF">2026-07-11T07:19:01.935Z</dcterms:modified>
</cp:coreProperties>
</file>

<file path=docProps/custom.xml><?xml version="1.0" encoding="utf-8"?>
<Properties xmlns="http://schemas.openxmlformats.org/officeDocument/2006/custom-properties" xmlns:vt="http://schemas.openxmlformats.org/officeDocument/2006/docPropsVTypes"/>
</file>