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8A8A8A"/>
          <w:sz w:val="20"/>
        </w:rPr>
        <w:t>SSLM · Simple Solution, Low Maintenance</w:t>
      </w:r>
    </w:p>
    <w:p>
      <w:r>
        <w:rPr>
          <w:rFonts w:ascii="Calibri" w:hAnsi="Calibri"/>
          <w:b/>
          <w:color w:val="1F3864"/>
          <w:sz w:val="56"/>
        </w:rPr>
        <w:t>The Design Principles Guide</w:t>
      </w:r>
    </w:p>
    <w:p>
      <w:r>
        <w:rPr>
          <w:color w:val="595959"/>
          <w:sz w:val="26"/>
        </w:rPr>
        <w:t>Choosing and shaping the solution — Simple Solution, Low Maintenance by design</w:t>
      </w:r>
    </w:p>
    <w:p>
      <w:pPr/>
      <w:r>
        <w:t>Purpose. The eleven governance principles govern how a project is run. This guide covers a second, parallel set — the Design Principles — which govern how the solution itself is chosen and shaped. This is where “Simple Solution, Low Maintenance” becomes a decision made at the point of choice, not a hope left to chance.</w:t>
      </w:r>
    </w:p>
    <w:p>
      <w:pPr/>
      <w:r>
        <w:t>What's inside: declaring your complexity appetite, the principle clusters and an optional technology add-on, the exception rule, the low-maintenance target, roles, and a worked example.</w:t>
      </w:r>
    </w:p>
    <w:p>
      <w:pPr>
        <w:pStyle w:val="Heading1"/>
      </w:pPr>
      <w:r>
        <w:t>1. How this differs from the governance principles</w:t>
      </w:r>
    </w:p>
    <w:p>
      <w:pPr/>
      <w:r>
        <w:t>The eleven governance principles answer “are we managing this well?” Design Principles answer a different question: “are we choosing and building the right, simple, low-maintenance thing?”</w:t>
      </w:r>
    </w:p>
    <w:p>
      <w:pPr/>
      <w:r>
        <w:t>They sit specifically beneath two of the governance principles — Fit for Purpose (good enough over gold-plated) and Access over Ownership (rent, contract, automate over hire, build, by-hand — the people and resourcing principle). Design Principles are the solution-level detail underneath those two; they don't duplicate them, and they don't duplicate any of the other nine.</w:t>
      </w:r>
    </w:p>
    <w:p>
      <w:pPr>
        <w:pStyle w:val="Heading1"/>
      </w:pPr>
      <w:r>
        <w:t>2. Start with your complexity appetite</w:t>
      </w:r>
    </w:p>
    <w:p>
      <w:pPr/>
      <w:r>
        <w:t>Low maintenance is a stance set up front, by one decision: how much organisational complexity you are willing to own.</w:t>
      </w:r>
    </w:p>
    <w:p>
      <w:pPr>
        <w:pStyle w:val="ListBullet"/>
      </w:pPr>
      <w:r>
        <w:t>Low appetite — focus on what you do best; access the rest — buy platforms, rent expertise, automate, and let experts own the non-core. This is the default.</w:t>
      </w:r>
    </w:p>
    <w:p>
      <w:pPr>
        <w:pStyle w:val="ListBullet"/>
      </w:pPr>
      <w:r>
        <w:t>High appetite — build and own more, gaining control at the price of maintenance. Legitimate where control matters more than simplicity — but declare it, so the principles stay coherent.</w:t>
      </w:r>
    </w:p>
    <w:p>
      <w:pPr/>
      <w:r>
        <w:t>Declare the appetite at Green Light (or above, for a platform or operating-model decision), and record it in the Design Principles Register against the project or decision it governs. A low-appetite stance shifts management from building and doing toward orchestrating — vendors, platforms, partners and SLAs — which is why this fits naturally with a value-stream operating model.</w:t>
      </w:r>
    </w:p>
    <w:p>
      <w:pPr>
        <w:pStyle w:val="Heading1"/>
      </w:pPr>
      <w:r>
        <w:t>3. The principle clusters</w:t>
      </w:r>
    </w:p>
    <w:p>
      <w:pPr>
        <w:pStyle w:val="Heading2"/>
      </w:pPr>
      <w:r>
        <w:t>Simple Solution — choosing the solution</w:t>
      </w:r>
    </w:p>
    <w:p>
      <w:pPr>
        <w:pStyle w:val="ListBullet"/>
      </w:pPr>
      <w:r>
        <w:t>Buy over build — pre-packaged over bespoke.</w:t>
      </w:r>
    </w:p>
    <w:p>
      <w:pPr>
        <w:pStyle w:val="ListBullet"/>
      </w:pPr>
      <w:r>
        <w:t>One platform over best-of-breed — fewest systems that meet the need.</w:t>
      </w:r>
    </w:p>
    <w:p>
      <w:pPr>
        <w:pStyle w:val="ListBullet"/>
      </w:pPr>
      <w:r>
        <w:t>Configure over customise — declarative configuration over custom code.</w:t>
      </w:r>
    </w:p>
    <w:p>
      <w:pPr>
        <w:pStyle w:val="ListBullet"/>
      </w:pPr>
      <w:r>
        <w:t>Just enough, just in time — switch on only what's needed now.</w:t>
      </w:r>
    </w:p>
    <w:p>
      <w:pPr>
        <w:pStyle w:val="ListBullet"/>
      </w:pPr>
      <w:r>
        <w:t>Add on demand over big-bang — extend as gaps appear.</w:t>
      </w:r>
    </w:p>
    <w:p>
      <w:pPr>
        <w:pStyle w:val="Heading2"/>
      </w:pPr>
      <w:r>
        <w:t>Low Maintenance — sustaining the solution</w:t>
      </w:r>
    </w:p>
    <w:p>
      <w:pPr>
        <w:pStyle w:val="ListBullet"/>
      </w:pPr>
      <w:r>
        <w:t>Consolidate and stabilise — fewest moving parts.</w:t>
      </w:r>
    </w:p>
    <w:p>
      <w:pPr>
        <w:pStyle w:val="ListBullet"/>
      </w:pPr>
      <w:r>
        <w:t>Rent expertise over hire — vendor and specialist support for the non-core, full-lifecycle where possible.</w:t>
      </w:r>
    </w:p>
    <w:p>
      <w:pPr>
        <w:pStyle w:val="ListBullet"/>
      </w:pPr>
      <w:r>
        <w:t>Automate over manual — remove manual handling and inputs.</w:t>
      </w:r>
    </w:p>
    <w:p>
      <w:pPr>
        <w:pStyle w:val="ListBullet"/>
      </w:pPr>
      <w:r>
        <w:t>Total cost of ownership over upfront cost — weigh run, support and upgrade, not just build or buy.</w:t>
      </w:r>
    </w:p>
    <w:p>
      <w:pPr>
        <w:pStyle w:val="ListBullet"/>
      </w:pPr>
      <w:r>
        <w:t>Design for minimal operational footprint — with a stated, measurable target (see Section 6).</w:t>
      </w:r>
    </w:p>
    <w:p>
      <w:pPr>
        <w:pStyle w:val="ListBullet"/>
      </w:pPr>
      <w:r>
        <w:t>Reversible over locked-in — prefer choices that can be unwound if the vendor, platform or approach stops serving you.</w:t>
      </w:r>
    </w:p>
    <w:p>
      <w:pPr>
        <w:pStyle w:val="Heading2"/>
      </w:pPr>
      <w:r>
        <w:t xml:space="preserve">Optional domain add-ons</w:t>
      </w:r>
    </w:p>
    <w:p>
      <w:pPr/>
      <w:r>
        <w:t xml:space="preserve">These are optional clusters, picked up only when a project’s domain triggers one (Principle 8). Layer the clusters a project needs on top of the two core clusters and remove — or mark N/A — the rest; the register carries them all as a menu. Each is contextual, and each should be pressure-tested before it is treated as final.</w:t>
      </w:r>
    </w:p>
    <w:p>
      <w:pPr/>
      <w:r>
        <w:rPr>
          <w:b/>
        </w:rPr>
        <w:t xml:space="preserve">Technology — for software, platform and integration builds.</w:t>
      </w:r>
    </w:p>
    <w:p>
      <w:pPr>
        <w:pStyle w:val="ListBullet"/>
      </w:pPr>
      <w:r>
        <w:t xml:space="preserve">Adopt over adapt — change the organisation’s process to fit the product’s standard way, rather than bending the product to the old process.</w:t>
      </w:r>
    </w:p>
    <w:p>
      <w:pPr>
        <w:pStyle w:val="ListBullet"/>
      </w:pPr>
      <w:r>
        <w:t xml:space="preserve">Integrate over duplicate — standards-based interfaces and one source of truth; no re-keying or duplicate data stores.</w:t>
      </w:r>
    </w:p>
    <w:p>
      <w:pPr>
        <w:pStyle w:val="ListBullet"/>
      </w:pPr>
      <w:r>
        <w:t xml:space="preserve">Secure and resilient by design — security, privacy, reliability and availability set as design criteria up front, not bolted on later.</w:t>
      </w:r>
    </w:p>
    <w:p>
      <w:pPr>
        <w:pStyle w:val="ListBullet"/>
      </w:pPr>
      <w:r>
        <w:t xml:space="preserve">Minimal data footprint — migrate and hold only the data the process needs to act on; don’t move data “just in case”.</w:t>
      </w:r>
    </w:p>
    <w:p>
      <w:pPr>
        <w:pStyle w:val="ListBullet"/>
      </w:pPr>
      <w:r>
        <w:t xml:space="preserve">Design for the end user — a measurable, positive impact on the people who use the solution.</w:t>
      </w:r>
    </w:p>
    <w:p>
      <w:pPr/>
      <w:r>
        <w:rPr>
          <w:b/>
        </w:rPr>
        <w:t xml:space="preserve">Cost &amp; Commercial — where spend or the funding model is a significant choice; note this largely overlaps the core Total cost of ownership principle and the Budget, Cost &amp; Resource Management Guide.</w:t>
      </w:r>
    </w:p>
    <w:p>
      <w:pPr>
        <w:pStyle w:val="ListBullet"/>
      </w:pPr>
      <w:r>
        <w:t xml:space="preserve">Pay for use over pay for capacity — consumption or elastic pricing over fixed, owned capacity.</w:t>
      </w:r>
    </w:p>
    <w:p>
      <w:pPr>
        <w:pStyle w:val="ListBullet"/>
      </w:pPr>
      <w:r>
        <w:t xml:space="preserve">Opex over capex — prefer operating spend that scales with use; capitalise only by exception.</w:t>
      </w:r>
    </w:p>
    <w:p>
      <w:pPr>
        <w:pStyle w:val="ListBullet"/>
      </w:pPr>
      <w:r>
        <w:t xml:space="preserve">Cashable over stranded — design so a benefit can be banked and no choice creates an exit or write-off cost.</w:t>
      </w:r>
    </w:p>
    <w:p>
      <w:pPr/>
      <w:r>
        <w:rPr>
          <w:b/>
        </w:rPr>
        <w:t xml:space="preserve">Data &amp; Information — for data-, analytics- or migration-heavy work.</w:t>
      </w:r>
    </w:p>
    <w:p>
      <w:pPr>
        <w:pStyle w:val="ListBullet"/>
      </w:pPr>
      <w:r>
        <w:t xml:space="preserve">Single source of truth — one authoritative record; everything else references it.</w:t>
      </w:r>
    </w:p>
    <w:p>
      <w:pPr>
        <w:pStyle w:val="ListBullet"/>
      </w:pPr>
      <w:r>
        <w:t xml:space="preserve">Capture once, use many — collect a data item once and reuse it everywhere.</w:t>
      </w:r>
    </w:p>
    <w:p>
      <w:pPr>
        <w:pStyle w:val="ListBullet"/>
      </w:pPr>
      <w:r>
        <w:t xml:space="preserve">Open formats over proprietary — favour portable, standard formats for longevity.</w:t>
      </w:r>
    </w:p>
    <w:p>
      <w:pPr>
        <w:pStyle w:val="ListBullet"/>
      </w:pPr>
      <w:r>
        <w:t xml:space="preserve">Quality at source — validate data on entry, not downstream.</w:t>
      </w:r>
    </w:p>
    <w:p>
      <w:pPr/>
      <w:r>
        <w:rPr>
          <w:b/>
        </w:rPr>
        <w:t xml:space="preserve">Security, Privacy &amp; Compliance — for sensitive data or regulated environments.</w:t>
      </w:r>
    </w:p>
    <w:p>
      <w:pPr>
        <w:pStyle w:val="ListBullet"/>
      </w:pPr>
      <w:r>
        <w:t xml:space="preserve">Least privilege — access is need-to-know, granted at the minimum level required.</w:t>
      </w:r>
    </w:p>
    <w:p>
      <w:pPr>
        <w:pStyle w:val="ListBullet"/>
      </w:pPr>
      <w:r>
        <w:t xml:space="preserve">Compliance by design — regulatory and privacy obligations are built-in constraints, not later add-ons.</w:t>
      </w:r>
    </w:p>
    <w:p>
      <w:pPr>
        <w:pStyle w:val="ListBullet"/>
      </w:pPr>
      <w:r>
        <w:t xml:space="preserve">Auditability by design — decisions, changes and access leave an evidence trail.</w:t>
      </w:r>
    </w:p>
    <w:p>
      <w:pPr>
        <w:pStyle w:val="ListBullet"/>
      </w:pPr>
      <w:r>
        <w:t xml:space="preserve">Data sovereignty — where data is stored and processed is a deliberate design choice.</w:t>
      </w:r>
    </w:p>
    <w:p>
      <w:pPr/>
      <w:r>
        <w:rPr>
          <w:b/>
        </w:rPr>
        <w:t xml:space="preserve">Sustainability / ESG — where there is an environmental or ESG mandate.</w:t>
      </w:r>
    </w:p>
    <w:p>
      <w:pPr>
        <w:pStyle w:val="ListBullet"/>
      </w:pPr>
      <w:r>
        <w:t xml:space="preserve">Efficiency by design — least energy and resource for the outcome.</w:t>
      </w:r>
    </w:p>
    <w:p>
      <w:pPr>
        <w:pStyle w:val="ListBullet"/>
      </w:pPr>
      <w:r>
        <w:t xml:space="preserve">Reuse over new — extend or repurpose existing assets before acquiring new ones.</w:t>
      </w:r>
    </w:p>
    <w:p>
      <w:pPr>
        <w:pStyle w:val="ListBullet"/>
      </w:pPr>
      <w:r>
        <w:t xml:space="preserve">Measure and report footprint — make environmental impact visible and tracked.</w:t>
      </w:r>
    </w:p>
    <w:p>
      <w:pPr/>
      <w:r>
        <w:rPr>
          <w:b/>
        </w:rPr>
        <w:t xml:space="preserve">Service &amp; Operations — for solutions that live long in BAU; note this overlaps Automate over manual and Design for minimal operational footprint.</w:t>
      </w:r>
    </w:p>
    <w:p>
      <w:pPr>
        <w:pStyle w:val="ListBullet"/>
      </w:pPr>
      <w:r>
        <w:t xml:space="preserve">Design for supportability — runbooks, SLAs and clear ownership agreed before handover.</w:t>
      </w:r>
    </w:p>
    <w:p>
      <w:pPr>
        <w:pStyle w:val="ListBullet"/>
      </w:pPr>
      <w:r>
        <w:t xml:space="preserve">Observability by design — monitoring and alerting built in, not bolted on.</w:t>
      </w:r>
    </w:p>
    <w:p>
      <w:pPr>
        <w:pStyle w:val="ListBullet"/>
      </w:pPr>
      <w:r>
        <w:t xml:space="preserve">Self-service, automated operations — minimise manual run effort.</w:t>
      </w:r>
    </w:p>
    <w:p>
      <w:pPr/>
      <w:r>
        <w:rPr>
          <w:b/>
        </w:rPr>
        <w:t xml:space="preserve">Property / Physical — for a building, fit-out or physical asset.</w:t>
      </w:r>
    </w:p>
    <w:p>
      <w:pPr>
        <w:pStyle w:val="ListBullet"/>
      </w:pPr>
      <w:r>
        <w:t xml:space="preserve">Flexible over fixed — re-configurable space and assets over single-purpose ones.</w:t>
      </w:r>
    </w:p>
    <w:p>
      <w:pPr>
        <w:pStyle w:val="ListBullet"/>
      </w:pPr>
      <w:r>
        <w:t xml:space="preserve">Standard fit-out over bespoke — reuse standard designs and specifications.</w:t>
      </w:r>
    </w:p>
    <w:p>
      <w:pPr>
        <w:pStyle w:val="ListBullet"/>
      </w:pPr>
      <w:r>
        <w:t xml:space="preserve">Whole-of-life cost over build cost — weigh operating and maintenance cost, not just build.</w:t>
      </w:r>
    </w:p>
    <w:p>
      <w:pPr>
        <w:pStyle w:val="Heading1"/>
      </w:pPr>
      <w:r>
        <w:t>4. The exception rule</w:t>
      </w:r>
    </w:p>
    <w:p>
      <w:pPr/>
      <w:r>
        <w:t>Deviate from a ratified principle only by explicit exception — recorded in the Design Principles Register (Exception, Exception rationale, and Exception approved by &amp; date columns), and, where it adds lasting complexity, logged in the Technical Debt Log — approved at SteerCo or a design authority.</w:t>
      </w:r>
    </w:p>
    <w:p>
      <w:pPr/>
      <w:r>
        <w:t>This is also how a bespoke or highly customised solution is handled when one is genuinely required: it's a high-appetite decision taken by exception — recorded, approved, and reviewed proactively for the complexity it adds against the long-term maintenance it creates. Simplicity is the default, not a prohibition.</w:t>
      </w:r>
    </w:p>
    <w:p>
      <w:pPr>
        <w:pStyle w:val="Heading1"/>
      </w:pPr>
      <w:r>
        <w:t>5. Standard method, contextual content</w:t>
      </w:r>
    </w:p>
    <w:p>
      <w:pPr/>
      <w:r>
        <w:t>The block is standard — the starter set and the exception method. The content is contextual — which principles and thresholds a project adopts — exactly like a RAID log, where the template is standard but the entries are the project's own.</w:t>
      </w:r>
    </w:p>
    <w:p>
      <w:pPr/>
      <w:r>
        <w:t>Ratify at the highest altitude that owns the decision. A platform choice made at the operating-model or portfolio level constrains every project beneath it; those projects inherit the principles rather than re-deciding them.</w:t>
      </w:r>
    </w:p>
    <w:p>
      <w:pPr>
        <w:pStyle w:val="Heading1"/>
      </w:pPr>
      <w:r>
        <w:t>6. The low-maintenance target</w:t>
      </w:r>
    </w:p>
    <w:p>
      <w:pPr/>
      <w:r>
        <w:t>Because low maintenance is decided up front, every solution states what it means for that solution — a measurable target, checked at handover alongside benefits. For example: fewest platforms, lowest run cost, smallest support load, or work-from-anywhere.</w:t>
      </w:r>
    </w:p>
    <w:p>
      <w:pPr/>
      <w:r>
        <w:t>This target is captured in the Design Principles Register and checked off in the Closure &amp; Handover Report's “Low-Maintenance Target Achieved?” field — the design-principle equivalent of the benefits triplet.</w:t>
      </w:r>
    </w:p>
    <w:p>
      <w:pPr>
        <w:pStyle w:val="Heading1"/>
      </w:pPr>
      <w:r>
        <w:t>7. Roles</w:t>
      </w:r>
    </w:p>
    <w:p>
      <w:pPr>
        <w:pStyle w:val="ListBullet"/>
      </w:pPr>
      <w:r>
        <w:t>Custodian — owns the standard starter set and the exception method.</w:t>
      </w:r>
    </w:p>
    <w:p>
      <w:pPr>
        <w:pStyle w:val="ListBullet"/>
      </w:pPr>
      <w:r>
        <w:t>Accountable owner — declares the complexity appetite, ratifies the set at the right altitude, and owns adherence.</w:t>
      </w:r>
    </w:p>
    <w:p>
      <w:pPr>
        <w:pStyle w:val="ListBullet"/>
      </w:pPr>
      <w:r>
        <w:t>Decision-makers — apply the principles to solution and design choices; raise exceptions.</w:t>
      </w:r>
    </w:p>
    <w:p>
      <w:pPr>
        <w:pStyle w:val="ListBullet"/>
      </w:pPr>
      <w:r>
        <w:t>SteerCo / design authority — approves exceptions and reviews the Technical Debt Log.</w:t>
      </w:r>
    </w:p>
    <w:p>
      <w:pPr>
        <w:pStyle w:val="Heading1"/>
      </w:pPr>
      <w:r>
        <w:t>8. Worked example — Customer Portal Launch</w:t>
      </w:r>
    </w:p>
    <w:p>
      <w:pPr/>
      <w:r>
        <w:t>The Business Case for Customer Portal Launch (Project Reference 2026-001) recommended configuring the existing platform's portal module, integrated with SSO, over building a bespoke portal — a low-appetite stance declared at Green Light. Here's how that one decision maps to the Design Principles: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</w:rPr>
              <w:t>What was done</w:t>
            </w:r>
          </w:p>
        </w:tc>
        <w:tc>
          <w:tcPr>
            <w:tcW w:type="dxa" w:w="4320"/>
          </w:tcPr>
          <w:p>
            <w:r/>
            <w:r>
              <w:rPr>
                <w:b/>
              </w:rPr>
              <w:t>Design principle applied</w:t>
            </w:r>
          </w:p>
        </w:tc>
      </w:tr>
      <w:tr>
        <w:tc>
          <w:tcPr>
            <w:tcW w:type="dxa" w:w="4320"/>
          </w:tcPr>
          <w:p>
            <w:r>
              <w:t>Configured the existing platform's portal module rather than building bespoke</w:t>
            </w:r>
          </w:p>
        </w:tc>
        <w:tc>
          <w:tcPr>
            <w:tcW w:type="dxa" w:w="4320"/>
          </w:tcPr>
          <w:p>
            <w:r>
              <w:t>Buy over build; configure over customise</w:t>
            </w:r>
          </w:p>
        </w:tc>
      </w:tr>
      <w:tr>
        <w:tc>
          <w:tcPr>
            <w:tcW w:type="dxa" w:w="4320"/>
          </w:tcPr>
          <w:p>
            <w:r>
              <w:t>Integrated a single SSO platform rather than a bespoke authentication build</w:t>
            </w:r>
          </w:p>
        </w:tc>
        <w:tc>
          <w:tcPr>
            <w:tcW w:type="dxa" w:w="4320"/>
          </w:tcPr>
          <w:p>
            <w:r>
              <w:t>One platform over best-of-breed</w:t>
            </w:r>
          </w:p>
        </w:tc>
      </w:tr>
      <w:tr>
        <w:tc>
          <w:tcPr>
            <w:tcW w:type="dxa" w:w="4320"/>
          </w:tcPr>
          <w:p>
            <w:r>
              <w:t>Kept a local-authentication fallback (CR-01) as a verified rollback until SSO was confirmed stable, then retired it</w:t>
            </w:r>
          </w:p>
        </w:tc>
        <w:tc>
          <w:tcPr>
            <w:tcW w:type="dxa" w:w="4320"/>
          </w:tcPr>
          <w:p>
            <w:r>
              <w:t>Reversible over locked-in</w:t>
            </w:r>
          </w:p>
        </w:tc>
      </w:tr>
      <w:tr>
        <w:tc>
          <w:tcPr>
            <w:tcW w:type="dxa" w:w="4320"/>
          </w:tcPr>
          <w:p>
            <w:r>
              <w:t>Built self-service for the top 5 request types only, not the full service catalogue</w:t>
            </w:r>
          </w:p>
        </w:tc>
        <w:tc>
          <w:tcPr>
            <w:tcW w:type="dxa" w:w="4320"/>
          </w:tcPr>
          <w:p>
            <w:r>
              <w:t>Just enough, just in time</w:t>
            </w:r>
          </w:p>
        </w:tc>
      </w:tr>
    </w:tbl>
    <w:p/>
    <w:p>
      <w:pPr/>
      <w:r>
        <w:t>Low-maintenance target declared at Green Light: fewest platforms (one), no new authentication system to maintain long-term. Checked and confirmed at closure, alongside the project's benefits.</w:t>
      </w:r>
    </w:p>
    <w:p>
      <w:pPr>
        <w:pStyle w:val="Heading1"/>
      </w:pPr>
      <w:r>
        <w:t>9. Boundaries</w:t>
      </w:r>
    </w:p>
    <w:p>
      <w:pPr>
        <w:pStyle w:val="ListBullet"/>
      </w:pPr>
      <w:r>
        <w:t>Not a technical architecture standard — this is the decision posture, not the engineering detail; it doesn't replace a specialist design authority.</w:t>
      </w:r>
    </w:p>
    <w:p>
      <w:pPr>
        <w:pStyle w:val="ListBullet"/>
      </w:pPr>
      <w:r>
        <w:t>Domain-agnostic — the categories are standard; the specifics and thresholds are the adopter's.</w:t>
      </w:r>
      <w:r>
        <w:t xml:space="preserve"> A domain such as technology can add an optional cluster on top, adopted only where it applies.</w:t>
      </w:r>
    </w:p>
    <w:p>
      <w:pPr>
        <w:pStyle w:val="ListBullet"/>
      </w:pPr>
      <w:r>
        <w:t>Appetite is a choice, not a mandate — a high-appetite stance is legitimate where control outweighs maintenance; the point is making the choice explicit and coherent, not forcing low appetite on everyone.</w:t>
      </w:r>
    </w:p>
    <w:p>
      <w:pPr/>
      <w:r>
        <w:t>Low maintenance is chosen up front, by declaring how much complexity you are willing to own.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1F3864"/>
    <w:rsid w:val="001F3864"/>
    <w:rsid w:val="002E5496"/>
    <w:rsid w:val="002E5496"/>
    <w:rsid w:val="001F386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1F38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F386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F386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SLM">
      <a:dk1>
        <a:srgbClr val="1F2430"/>
      </a:dk1>
      <a:lt1>
        <a:srgbClr val="FFFFFF"/>
      </a:lt1>
      <a:dk2>
        <a:srgbClr val="1F3864"/>
      </a:dk2>
      <a:lt2>
        <a:srgbClr val="D9E2F3"/>
      </a:lt2>
      <a:accent1>
        <a:srgbClr val="1F3864"/>
      </a:accent1>
      <a:accent2>
        <a:srgbClr val="C55A11"/>
      </a:accent2>
      <a:accent3>
        <a:srgbClr val="548235"/>
      </a:accent3>
      <a:accent4>
        <a:srgbClr val="2E5496"/>
      </a:accent4>
      <a:accent5>
        <a:srgbClr val="9DC3E6"/>
      </a:accent5>
      <a:accent6>
        <a:srgbClr val="5B6472"/>
      </a:accent6>
      <a:hlink>
        <a:srgbClr val="2E5496"/>
      </a:hlink>
      <a:folHlink>
        <a:srgbClr val="C55A1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