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olor w:val="8A8A8A"/>
          <w:sz w:val="20"/>
        </w:rPr>
        <w:t>SSLM · Simple Solution, Low Maintenance</w:t>
      </w:r>
    </w:p>
    <w:p>
      <w:pPr>
        <w:jc w:val="center"/>
      </w:pPr>
      <w:r>
        <w:rPr>
          <w:rFonts w:ascii="Calibri" w:hAnsi="Calibri"/>
          <w:b/>
          <w:color w:val="1F3864"/>
          <w:sz w:val="56"/>
        </w:rPr>
        <w:t>The PTIP Prioritisation Guide</w:t>
      </w:r>
    </w:p>
    <w:p>
      <w:pPr>
        <w:jc w:val="center"/>
      </w:pPr>
      <w:r>
        <w:rPr>
          <w:i/>
          <w:color w:val="595959"/>
          <w:sz w:val="26"/>
        </w:rPr>
        <w:t>How initiatives get scored, ranked, and funded at portfolio level</w:t>
      </w:r>
    </w:p>
    <w:p>
      <w:r>
        <w:t>Purpose. The PTIP is the single view the BoM uses to fund, hold, or stop every initiative in the portfolio. That only works if every initiative is scored on the same basis. This guide explains the scoring model already built into the PTIP template, and how to use it well.</w:t>
      </w:r>
    </w:p>
    <w:p>
      <w:r>
        <w:t>What's inside: how to score Strategic Fit and Value, how the Priority Score and Rank are calculated, how the BoM turns a rank into a Fund/Hold/Stop decision, and when to rescore an initiative.</w:t>
      </w:r>
    </w:p>
    <w:p>
      <w:pPr>
        <w:pStyle w:val="Heading1"/>
      </w:pPr>
      <w:r>
        <w:t>1. The scoring model</w:t>
      </w:r>
    </w:p>
    <w:p>
      <w:r>
        <w:t>Each initiative on the PTIP is scored 1–5 on two dimensions:</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sz w:val="20"/>
              </w:rPr>
              <w:t>Score</w:t>
            </w:r>
          </w:p>
        </w:tc>
        <w:tc>
          <w:tcPr>
            <w:tcW w:type="dxa" w:w="2880"/>
          </w:tcPr>
          <w:p>
            <w:r>
              <w:rPr>
                <w:b/>
                <w:sz w:val="20"/>
              </w:rPr>
              <w:t>Strategic Fit</w:t>
            </w:r>
          </w:p>
        </w:tc>
        <w:tc>
          <w:tcPr>
            <w:tcW w:type="dxa" w:w="2880"/>
          </w:tcPr>
          <w:p>
            <w:r>
              <w:rPr>
                <w:b/>
                <w:sz w:val="20"/>
              </w:rPr>
              <w:t>Value</w:t>
            </w:r>
          </w:p>
        </w:tc>
      </w:tr>
      <w:tr>
        <w:tc>
          <w:tcPr>
            <w:tcW w:type="dxa" w:w="2880"/>
          </w:tcPr>
          <w:p>
            <w:r>
              <w:rPr>
                <w:sz w:val="20"/>
              </w:rPr>
              <w:t>5</w:t>
            </w:r>
          </w:p>
        </w:tc>
        <w:tc>
          <w:tcPr>
            <w:tcW w:type="dxa" w:w="2880"/>
          </w:tcPr>
          <w:p>
            <w:r>
              <w:rPr>
                <w:sz w:val="20"/>
              </w:rPr>
              <w:t>Directly delivers a top strategic objective</w:t>
            </w:r>
          </w:p>
        </w:tc>
        <w:tc>
          <w:tcPr>
            <w:tcW w:type="dxa" w:w="2880"/>
          </w:tcPr>
          <w:p>
            <w:r>
              <w:rPr>
                <w:sz w:val="20"/>
              </w:rPr>
              <w:t>Transformative benefit relative to cost</w:t>
            </w:r>
          </w:p>
        </w:tc>
      </w:tr>
      <w:tr>
        <w:tc>
          <w:tcPr>
            <w:tcW w:type="dxa" w:w="2880"/>
          </w:tcPr>
          <w:p>
            <w:r>
              <w:rPr>
                <w:sz w:val="20"/>
              </w:rPr>
              <w:t>4</w:t>
            </w:r>
          </w:p>
        </w:tc>
        <w:tc>
          <w:tcPr>
            <w:tcW w:type="dxa" w:w="2880"/>
          </w:tcPr>
          <w:p>
            <w:r>
              <w:rPr>
                <w:sz w:val="20"/>
              </w:rPr>
              <w:t>Strongly supports a strategic objective</w:t>
            </w:r>
          </w:p>
        </w:tc>
        <w:tc>
          <w:tcPr>
            <w:tcW w:type="dxa" w:w="2880"/>
          </w:tcPr>
          <w:p>
            <w:r>
              <w:rPr>
                <w:sz w:val="20"/>
              </w:rPr>
              <w:t>Significant benefit relative to cost</w:t>
            </w:r>
          </w:p>
        </w:tc>
      </w:tr>
      <w:tr>
        <w:tc>
          <w:tcPr>
            <w:tcW w:type="dxa" w:w="2880"/>
          </w:tcPr>
          <w:p>
            <w:r>
              <w:rPr>
                <w:sz w:val="20"/>
              </w:rPr>
              <w:t>3</w:t>
            </w:r>
          </w:p>
        </w:tc>
        <w:tc>
          <w:tcPr>
            <w:tcW w:type="dxa" w:w="2880"/>
          </w:tcPr>
          <w:p>
            <w:r>
              <w:rPr>
                <w:sz w:val="20"/>
              </w:rPr>
              <w:t>Supports a strategic objective indirectly</w:t>
            </w:r>
          </w:p>
        </w:tc>
        <w:tc>
          <w:tcPr>
            <w:tcW w:type="dxa" w:w="2880"/>
          </w:tcPr>
          <w:p>
            <w:r>
              <w:rPr>
                <w:sz w:val="20"/>
              </w:rPr>
              <w:t>Moderate, clearly positive benefit</w:t>
            </w:r>
          </w:p>
        </w:tc>
      </w:tr>
      <w:tr>
        <w:tc>
          <w:tcPr>
            <w:tcW w:type="dxa" w:w="2880"/>
          </w:tcPr>
          <w:p>
            <w:r>
              <w:rPr>
                <w:sz w:val="20"/>
              </w:rPr>
              <w:t>2</w:t>
            </w:r>
          </w:p>
        </w:tc>
        <w:tc>
          <w:tcPr>
            <w:tcW w:type="dxa" w:w="2880"/>
          </w:tcPr>
          <w:p>
            <w:r>
              <w:rPr>
                <w:sz w:val="20"/>
              </w:rPr>
              <w:t>Loosely related to strategic objectives</w:t>
            </w:r>
          </w:p>
        </w:tc>
        <w:tc>
          <w:tcPr>
            <w:tcW w:type="dxa" w:w="2880"/>
          </w:tcPr>
          <w:p>
            <w:r>
              <w:rPr>
                <w:sz w:val="20"/>
              </w:rPr>
              <w:t>Minor benefit relative to cost</w:t>
            </w:r>
          </w:p>
        </w:tc>
      </w:tr>
      <w:tr>
        <w:tc>
          <w:tcPr>
            <w:tcW w:type="dxa" w:w="2880"/>
          </w:tcPr>
          <w:p>
            <w:r>
              <w:rPr>
                <w:sz w:val="20"/>
              </w:rPr>
              <w:t>1</w:t>
            </w:r>
          </w:p>
        </w:tc>
        <w:tc>
          <w:tcPr>
            <w:tcW w:type="dxa" w:w="2880"/>
          </w:tcPr>
          <w:p>
            <w:r>
              <w:rPr>
                <w:sz w:val="20"/>
              </w:rPr>
              <w:t>No clear strategic link</w:t>
            </w:r>
          </w:p>
        </w:tc>
        <w:tc>
          <w:tcPr>
            <w:tcW w:type="dxa" w:w="2880"/>
          </w:tcPr>
          <w:p>
            <w:r>
              <w:rPr>
                <w:sz w:val="20"/>
              </w:rPr>
              <w:t>Marginal or unclear benefit</w:t>
            </w:r>
          </w:p>
        </w:tc>
      </w:tr>
    </w:tbl>
    <w:p>
      <w:r>
        <w:t>Score against the organisation's actual strategic objectives, not against how compelling the initiative sounds in the room — every initiative should be able to name the specific objective it serves.</w:t>
      </w:r>
    </w:p>
    <w:p>
      <w:pPr>
        <w:pStyle w:val="Heading1"/>
      </w:pPr>
      <w:r>
        <w:t>2. Priority Score and Rank</w:t>
      </w:r>
    </w:p>
    <w:p>
      <w:r>
        <w:t>The PTIP calculates these automatically: Priority Score is Strategic Fit plus Value (so it runs 2–10), and Rank orders every initiative by Priority Score, highest first. Indicative Cost and Risk sit alongside the score — they inform the funding decision but deliberately don't change the rank itself, so a cheap, low-value initiative can't out-rank an expensive, high-value one just because it's cheap.</w:t>
      </w:r>
      <w:r>
        <w:rPr>
          <w:rFonts w:ascii="Calibri" w:hAnsi="Calibri"/>
          <w:sz w:val="22"/>
        </w:rPr>
        <w:t xml:space="preserve"> Once an initiative is funded and delivery begins, that indicative cost is refined into the detailed Cost &amp; Resource Plan — see the Budget, Cost &amp; Resource Management Guide.</w:t>
      </w:r>
    </w:p>
    <w:p>
      <w:pPr>
        <w:pStyle w:val="Heading1"/>
      </w:pPr>
      <w:r>
        <w:t>3. From rank to Fund / Hold / Stop</w:t>
      </w:r>
    </w:p>
    <w:p>
      <w:r>
        <w:t>Rank is an input to the funding decision, not the decision itself. The BoM considers rank alongside cost and risk together:</w:t>
      </w:r>
    </w:p>
    <w:p>
      <w:pPr>
        <w:pStyle w:val="ListBullet"/>
      </w:pPr>
      <w:r>
        <w:t>Fund — high rank, and cost/risk are acceptable against available capacity.</w:t>
      </w:r>
    </w:p>
    <w:p>
      <w:pPr>
        <w:pStyle w:val="ListBullet"/>
      </w:pPr>
      <w:r>
        <w:t>Hold — a reasonable rank, but capacity, budget, or a dependency means it waits for a future round.</w:t>
      </w:r>
    </w:p>
    <w:p>
      <w:pPr>
        <w:pStyle w:val="ListBullet"/>
      </w:pPr>
      <w:r>
        <w:t>Stop — low rank, or the cost/risk profile no longer justifies proceeding even with a moderate rank.</w:t>
      </w:r>
    </w:p>
    <w:p>
      <w:r>
        <w:t>A high-risk initiative can still be funded if the strategic case is strong enough — the Risk column is a prompt to discuss it explicitly, not an automatic block.</w:t>
      </w:r>
    </w:p>
    <w:p>
      <w:pPr>
        <w:pStyle w:val="Heading1"/>
      </w:pPr>
      <w:r>
        <w:t>4. Keeping the PTIP current</w:t>
      </w:r>
    </w:p>
    <w:p>
      <w:r>
        <w:t>Rescore an initiative whenever:</w:t>
      </w:r>
    </w:p>
    <w:p>
      <w:pPr>
        <w:pStyle w:val="ListBullet"/>
      </w:pPr>
      <w:r>
        <w:t>It is first triaged at intake (see the Idea Triage step in the Change Request &amp; Idea Intake Guide).</w:t>
      </w:r>
    </w:p>
    <w:p>
      <w:pPr>
        <w:pStyle w:val="ListBullet"/>
      </w:pPr>
      <w:r>
        <w:t>It passes a major stage gate, and cost, risk, or expected value has shifted materially.</w:t>
      </w:r>
    </w:p>
    <w:p>
      <w:pPr>
        <w:pStyle w:val="ListBullet"/>
      </w:pPr>
      <w:r>
        <w:t>A Change Request changes scope, budget, or timeline significantly enough to affect its Value or Risk score.</w:t>
      </w:r>
    </w:p>
    <w:p>
      <w:r>
        <w:t>Stale scores are worse than no scores — a PTIP the BoM can't trust stops being used for real decisions.</w:t>
      </w:r>
    </w:p>
    <w:p>
      <w:pPr>
        <w:pStyle w:val="Heading1"/>
      </w:pPr>
      <w:r>
        <w:t>5. Worked example</w:t>
      </w:r>
    </w:p>
    <w:p>
      <w:r>
        <w:t>On the worked PTIP: Customer Portal Launch scores Strategic Fit 5 / Value 4 (Priority Score 9) and is Funded. Billing System Upgrade scores 4 / 5 (Priority Score 9) and is also Funded — tied on score, both within capacity. Data Warehouse Consolidation scores 4 / 3 (Priority Score 7) but carries Red risk and is placed on Hold pending a clearer delivery approach. Office Fit-out scores only 2 / 2 (Priority Score 4) and is Stopped — a reasonable initiative, just not competitive against this portfolio's other priorities.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1F3864"/>
    <w:rsid w:val="001F3864"/>
    <w:rsid w:val="002E5496"/>
    <w:rsid w:val="002E5496"/>
    <w:rsid w:val="001F386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1F38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F3864"/>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F386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3864"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E5496"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2E5496"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2E5496"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F386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F386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2E5496"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F3864"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2E5496"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2E5496" w:themeColor="accent1"/>
    </w:rPr>
  </w:style>
  <w:style w:type="paragraph" w:styleId="Title">
    <w:name w:val="Title"/>
    <w:basedOn w:val="Normal"/>
    <w:next w:val="Normal"/>
    <w:link w:val="TitleChar"/>
    <w:uiPriority w:val="10"/>
    <w:qFormat/>
    <w:rsid w:val="00FC693F"/>
    <w:pPr>
      <w:pBdr>
        <w:bottom w:val="single" w:sz="8" w:space="4" w:color="2E5496" w:themeColor="accent1"/>
      </w:pBdr>
      <w:spacing w:after="300" w:line="240" w:lineRule="auto"/>
      <w:contextualSpacing/>
    </w:pPr>
    <w:rPr>
      <w:rFonts w:asciiTheme="majorHAnsi" w:eastAsiaTheme="majorEastAsia" w:hAnsiTheme="majorHAnsi" w:cstheme="majorBidi"/>
      <w:color w:val="1F3864"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F3864"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2E5496"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2E5496"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1F3864"/>
    <w:pPr>
      <w:spacing w:after="120"/>
    </w:pPr>
  </w:style>
  <w:style w:type="character" w:customStyle="1" w:styleId="BodyTextChar">
    <w:name w:val="Body Text Char"/>
    <w:basedOn w:val="DefaultParagraphFont"/>
    <w:link w:val="BodyText"/>
    <w:uiPriority w:val="99"/>
    <w:rsid w:val="001F3864"/>
  </w:style>
  <w:style w:type="paragraph" w:styleId="BodyText2">
    <w:name w:val="Body Text 2"/>
    <w:basedOn w:val="Normal"/>
    <w:link w:val="BodyText2Char"/>
    <w:uiPriority w:val="99"/>
    <w:unhideWhenUsed/>
    <w:rsid w:val="001F3864"/>
    <w:pPr>
      <w:spacing w:after="120" w:line="480" w:lineRule="auto"/>
    </w:pPr>
  </w:style>
  <w:style w:type="character" w:customStyle="1" w:styleId="BodyText2Char">
    <w:name w:val="Body Text 2 Char"/>
    <w:basedOn w:val="DefaultParagraphFont"/>
    <w:link w:val="BodyText2"/>
    <w:uiPriority w:val="99"/>
    <w:rsid w:val="001F3864"/>
  </w:style>
  <w:style w:type="paragraph" w:styleId="BodyText3">
    <w:name w:val="Body Text 3"/>
    <w:basedOn w:val="Normal"/>
    <w:link w:val="BodyText3Char"/>
    <w:uiPriority w:val="99"/>
    <w:unhideWhenUsed/>
    <w:rsid w:val="001F3864"/>
    <w:pPr>
      <w:spacing w:after="120"/>
    </w:pPr>
    <w:rPr>
      <w:sz w:val="16"/>
      <w:szCs w:val="16"/>
    </w:rPr>
  </w:style>
  <w:style w:type="character" w:customStyle="1" w:styleId="BodyText3Char">
    <w:name w:val="Body Text 3 Char"/>
    <w:basedOn w:val="DefaultParagraphFont"/>
    <w:link w:val="BodyText3"/>
    <w:uiPriority w:val="99"/>
    <w:rsid w:val="001F3864"/>
    <w:rPr>
      <w:sz w:val="16"/>
      <w:szCs w:val="16"/>
    </w:rPr>
  </w:style>
  <w:style w:type="paragraph" w:styleId="List">
    <w:name w:val="List"/>
    <w:basedOn w:val="Normal"/>
    <w:uiPriority w:val="99"/>
    <w:unhideWhenUsed/>
    <w:rsid w:val="001F3864"/>
    <w:pPr>
      <w:ind w:left="360" w:hanging="360"/>
      <w:contextualSpacing/>
    </w:pPr>
  </w:style>
  <w:style w:type="paragraph" w:styleId="List2">
    <w:name w:val="List 2"/>
    <w:basedOn w:val="Normal"/>
    <w:uiPriority w:val="99"/>
    <w:unhideWhenUsed/>
    <w:rsid w:val="002E5496"/>
    <w:pPr>
      <w:ind w:left="720" w:hanging="360"/>
      <w:contextualSpacing/>
    </w:pPr>
  </w:style>
  <w:style w:type="paragraph" w:styleId="List3">
    <w:name w:val="List 3"/>
    <w:basedOn w:val="Normal"/>
    <w:uiPriority w:val="99"/>
    <w:unhideWhenUsed/>
    <w:rsid w:val="002E5496"/>
    <w:pPr>
      <w:ind w:left="1080" w:hanging="360"/>
      <w:contextualSpacing/>
    </w:pPr>
  </w:style>
  <w:style w:type="paragraph" w:styleId="ListBullet">
    <w:name w:val="List Bullet"/>
    <w:basedOn w:val="Normal"/>
    <w:uiPriority w:val="99"/>
    <w:unhideWhenUsed/>
    <w:rsid w:val="002E5496"/>
    <w:pPr>
      <w:numPr>
        <w:numId w:val="1"/>
      </w:numPr>
      <w:contextualSpacing/>
    </w:pPr>
  </w:style>
  <w:style w:type="paragraph" w:styleId="ListBullet2">
    <w:name w:val="List Bullet 2"/>
    <w:basedOn w:val="Normal"/>
    <w:uiPriority w:val="99"/>
    <w:unhideWhenUsed/>
    <w:rsid w:val="002E5496"/>
    <w:pPr>
      <w:numPr>
        <w:numId w:val="2"/>
      </w:numPr>
      <w:contextualSpacing/>
    </w:pPr>
  </w:style>
  <w:style w:type="paragraph" w:styleId="ListBullet3">
    <w:name w:val="List Bullet 3"/>
    <w:basedOn w:val="Normal"/>
    <w:uiPriority w:val="99"/>
    <w:unhideWhenUsed/>
    <w:rsid w:val="002E5496"/>
    <w:pPr>
      <w:numPr>
        <w:numId w:val="3"/>
      </w:numPr>
      <w:contextualSpacing/>
    </w:pPr>
  </w:style>
  <w:style w:type="paragraph" w:styleId="ListNumber">
    <w:name w:val="List Number"/>
    <w:basedOn w:val="Normal"/>
    <w:uiPriority w:val="99"/>
    <w:unhideWhenUsed/>
    <w:rsid w:val="002E5496"/>
    <w:pPr>
      <w:numPr>
        <w:numId w:val="5"/>
      </w:numPr>
      <w:contextualSpacing/>
    </w:pPr>
  </w:style>
  <w:style w:type="paragraph" w:styleId="ListNumber2">
    <w:name w:val="List Number 2"/>
    <w:basedOn w:val="Normal"/>
    <w:uiPriority w:val="99"/>
    <w:unhideWhenUsed/>
    <w:rsid w:val="002E5496"/>
    <w:pPr>
      <w:numPr>
        <w:numId w:val="6"/>
      </w:numPr>
      <w:contextualSpacing/>
    </w:pPr>
  </w:style>
  <w:style w:type="paragraph" w:styleId="ListNumber3">
    <w:name w:val="List Number 3"/>
    <w:basedOn w:val="Normal"/>
    <w:uiPriority w:val="99"/>
    <w:unhideWhenUsed/>
    <w:rsid w:val="002E5496"/>
    <w:pPr>
      <w:numPr>
        <w:numId w:val="7"/>
      </w:numPr>
      <w:contextualSpacing/>
    </w:pPr>
  </w:style>
  <w:style w:type="paragraph" w:styleId="ListContinue">
    <w:name w:val="List Continue"/>
    <w:basedOn w:val="Normal"/>
    <w:uiPriority w:val="99"/>
    <w:unhideWhenUsed/>
    <w:rsid w:val="002E5496"/>
    <w:pPr>
      <w:spacing w:after="120"/>
      <w:ind w:left="360"/>
      <w:contextualSpacing/>
    </w:pPr>
  </w:style>
  <w:style w:type="paragraph" w:styleId="ListContinue2">
    <w:name w:val="List Continue 2"/>
    <w:basedOn w:val="Normal"/>
    <w:uiPriority w:val="99"/>
    <w:unhideWhenUsed/>
    <w:rsid w:val="002E5496"/>
    <w:pPr>
      <w:spacing w:after="120"/>
      <w:ind w:left="720"/>
      <w:contextualSpacing/>
    </w:pPr>
  </w:style>
  <w:style w:type="paragraph" w:styleId="ListContinue3">
    <w:name w:val="List Continue 3"/>
    <w:basedOn w:val="Normal"/>
    <w:uiPriority w:val="99"/>
    <w:unhideWhenUsed/>
    <w:rsid w:val="002E5496"/>
    <w:pPr>
      <w:spacing w:after="120"/>
      <w:ind w:left="1080"/>
      <w:contextualSpacing/>
    </w:pPr>
  </w:style>
  <w:style w:type="paragraph" w:styleId="MacroText">
    <w:name w:val="macro"/>
    <w:link w:val="MacroTextChar"/>
    <w:uiPriority w:val="99"/>
    <w:unhideWhenUsed/>
    <w:rsid w:val="002E5496"/>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E5496"/>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2E5496"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F386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F386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2E5496"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2E5496"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2E5496" w:themeColor="accent1"/>
      </w:pBdr>
      <w:spacing w:before="200" w:after="280"/>
      <w:ind w:left="936" w:right="936"/>
    </w:pPr>
    <w:rPr>
      <w:b/>
      <w:bCs/>
      <w:i/>
      <w:iCs/>
      <w:color w:val="2E5496" w:themeColor="accent1"/>
    </w:rPr>
  </w:style>
  <w:style w:type="character" w:customStyle="1" w:styleId="IntenseQuoteChar">
    <w:name w:val="Intense Quote Char"/>
    <w:basedOn w:val="DefaultParagraphFont"/>
    <w:link w:val="IntenseQuote"/>
    <w:uiPriority w:val="30"/>
    <w:rsid w:val="00FC693F"/>
    <w:rPr>
      <w:b/>
      <w:bCs/>
      <w:i/>
      <w:iCs/>
      <w:color w:val="2E5496"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2E5496"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1F3864" w:themeColor="accent1" w:themeShade="BF"/>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lastRow">
      <w:pPr>
        <w:spacing w:before="0" w:after="0" w:line="240" w:lineRule="auto"/>
      </w:pPr>
      <w:rPr>
        <w:b/>
        <w:bCs/>
      </w:rPr>
      <w:tblPr/>
      <w:tcPr>
        <w:tcBorders>
          <w:top w:val="single" w:sz="8" w:space="0" w:color="2E5496" w:themeColor="accent1"/>
          <w:left w:val="nil"/>
          <w:bottom w:val="single" w:sz="8" w:space="0" w:color="2E549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left w:val="nil"/>
          <w:right w:val="nil"/>
          <w:insideH w:val="nil"/>
          <w:insideV w:val="nil"/>
        </w:tcBorders>
        <w:shd w:val="clear" w:color="auto" w:fill="D9E2F3"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1F3864" w:themeColor="accent4" w:themeShade="BF"/>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lastRow">
      <w:pPr>
        <w:spacing w:before="0" w:after="0" w:line="240" w:lineRule="auto"/>
      </w:pPr>
      <w:rPr>
        <w:b/>
        <w:bCs/>
      </w:rPr>
      <w:tblPr/>
      <w:tcPr>
        <w:tcBorders>
          <w:top w:val="single" w:sz="8" w:space="0" w:color="1F3864" w:themeColor="accent4"/>
          <w:left w:val="nil"/>
          <w:bottom w:val="single" w:sz="8" w:space="0" w:color="1F386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left w:val="nil"/>
          <w:right w:val="nil"/>
          <w:insideH w:val="nil"/>
          <w:insideV w:val="nil"/>
        </w:tcBorders>
        <w:shd w:val="clear" w:color="auto" w:fill="D9E2F3" w:themeFill="accent4" w:themeFillTint="3F"/>
      </w:tcPr>
    </w:tblStylePr>
  </w:style>
  <w:style w:type="table" w:styleId="LightShading-Accent5">
    <w:name w:val="Light Shading Accent 5"/>
    <w:basedOn w:val="TableNormal"/>
    <w:uiPriority w:val="60"/>
    <w:rsid w:val="00FC693F"/>
    <w:pPr>
      <w:spacing w:after="0" w:line="240" w:lineRule="auto"/>
    </w:pPr>
    <w:rPr>
      <w:color w:val="2E5496"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2E5496" w:themeFill="accent1"/>
      </w:tcPr>
    </w:tblStylePr>
    <w:tblStylePr w:type="lastRow">
      <w:pPr>
        <w:spacing w:before="0" w:after="0" w:line="240" w:lineRule="auto"/>
      </w:pPr>
      <w:rPr>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tcBorders>
      </w:tcPr>
    </w:tblStylePr>
    <w:tblStylePr w:type="firstCol">
      <w:rPr>
        <w:b/>
        <w:bCs/>
      </w:rPr>
    </w:tblStylePr>
    <w:tblStylePr w:type="lastCol">
      <w:rPr>
        <w:b/>
        <w:bCs/>
      </w:r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1F3864" w:themeFill="accent4"/>
      </w:tcPr>
    </w:tblStylePr>
    <w:tblStylePr w:type="lastRow">
      <w:pPr>
        <w:spacing w:before="0" w:after="0" w:line="240" w:lineRule="auto"/>
      </w:pPr>
      <w:rPr>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tcBorders>
      </w:tcPr>
    </w:tblStylePr>
    <w:tblStylePr w:type="firstCol">
      <w:rPr>
        <w:b/>
        <w:bCs/>
      </w:rPr>
    </w:tblStylePr>
    <w:tblStylePr w:type="lastCol">
      <w:rPr>
        <w:b/>
        <w:bCs/>
      </w:r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18" w:space="0" w:color="2E5496" w:themeColor="accent1"/>
          <w:right w:val="single" w:sz="8" w:space="0" w:color="2E5496" w:themeColor="accent1"/>
          <w:insideH w:val="nil"/>
          <w:insideV w:val="single" w:sz="8" w:space="0" w:color="2E549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E5496" w:themeColor="accent1"/>
          <w:left w:val="single" w:sz="8" w:space="0" w:color="2E5496" w:themeColor="accent1"/>
          <w:bottom w:val="single" w:sz="8" w:space="0" w:color="2E5496" w:themeColor="accent1"/>
          <w:right w:val="single" w:sz="8" w:space="0" w:color="2E5496" w:themeColor="accent1"/>
          <w:insideH w:val="nil"/>
          <w:insideV w:val="single" w:sz="8" w:space="0" w:color="2E549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tcPr>
    </w:tblStylePr>
    <w:tblStylePr w:type="band1Vert">
      <w:tblPr/>
      <w:tcPr>
        <w:tcBorders>
          <w:top w:val="single" w:sz="8" w:space="0" w:color="2E5496" w:themeColor="accent1"/>
          <w:left w:val="single" w:sz="8" w:space="0" w:color="2E5496" w:themeColor="accent1"/>
          <w:bottom w:val="single" w:sz="8" w:space="0" w:color="2E5496" w:themeColor="accent1"/>
          <w:right w:val="single" w:sz="8" w:space="0" w:color="2E5496" w:themeColor="accent1"/>
        </w:tcBorders>
        <w:shd w:val="clear" w:color="auto" w:fill="D9E2F3" w:themeFill="accent1" w:themeFillTint="3F"/>
      </w:tcPr>
    </w:tblStylePr>
    <w:tblStylePr w:type="band1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shd w:val="clear" w:color="auto" w:fill="D9E2F3" w:themeFill="accent1" w:themeFillTint="3F"/>
      </w:tcPr>
    </w:tblStylePr>
    <w:tblStylePr w:type="band2Horz">
      <w:tblPr/>
      <w:tcPr>
        <w:tcBorders>
          <w:top w:val="single" w:sz="8" w:space="0" w:color="2E5496" w:themeColor="accent1"/>
          <w:left w:val="single" w:sz="8" w:space="0" w:color="2E5496" w:themeColor="accent1"/>
          <w:bottom w:val="single" w:sz="8" w:space="0" w:color="2E5496" w:themeColor="accent1"/>
          <w:right w:val="single" w:sz="8" w:space="0" w:color="2E5496" w:themeColor="accent1"/>
          <w:insideV w:val="single" w:sz="8" w:space="0" w:color="2E5496"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18" w:space="0" w:color="1F3864" w:themeColor="accent4"/>
          <w:right w:val="single" w:sz="8" w:space="0" w:color="1F3864" w:themeColor="accent4"/>
          <w:insideH w:val="nil"/>
          <w:insideV w:val="single" w:sz="8" w:space="0" w:color="1F386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3864" w:themeColor="accent4"/>
          <w:left w:val="single" w:sz="8" w:space="0" w:color="1F3864" w:themeColor="accent4"/>
          <w:bottom w:val="single" w:sz="8" w:space="0" w:color="1F3864" w:themeColor="accent4"/>
          <w:right w:val="single" w:sz="8" w:space="0" w:color="1F3864" w:themeColor="accent4"/>
          <w:insideH w:val="nil"/>
          <w:insideV w:val="single" w:sz="8" w:space="0" w:color="1F386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tcPr>
    </w:tblStylePr>
    <w:tblStylePr w:type="band1Vert">
      <w:tblPr/>
      <w:tcPr>
        <w:tcBorders>
          <w:top w:val="single" w:sz="8" w:space="0" w:color="1F3864" w:themeColor="accent4"/>
          <w:left w:val="single" w:sz="8" w:space="0" w:color="1F3864" w:themeColor="accent4"/>
          <w:bottom w:val="single" w:sz="8" w:space="0" w:color="1F3864" w:themeColor="accent4"/>
          <w:right w:val="single" w:sz="8" w:space="0" w:color="1F3864" w:themeColor="accent4"/>
        </w:tcBorders>
        <w:shd w:val="clear" w:color="auto" w:fill="D9E2F3" w:themeFill="accent4" w:themeFillTint="3F"/>
      </w:tcPr>
    </w:tblStylePr>
    <w:tblStylePr w:type="band1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shd w:val="clear" w:color="auto" w:fill="D9E2F3" w:themeFill="accent4" w:themeFillTint="3F"/>
      </w:tcPr>
    </w:tblStylePr>
    <w:tblStylePr w:type="band2Horz">
      <w:tblPr/>
      <w:tcPr>
        <w:tcBorders>
          <w:top w:val="single" w:sz="8" w:space="0" w:color="1F3864" w:themeColor="accent4"/>
          <w:left w:val="single" w:sz="8" w:space="0" w:color="1F3864" w:themeColor="accent4"/>
          <w:bottom w:val="single" w:sz="8" w:space="0" w:color="1F3864" w:themeColor="accent4"/>
          <w:right w:val="single" w:sz="8" w:space="0" w:color="1F3864" w:themeColor="accent4"/>
          <w:insideV w:val="single" w:sz="8" w:space="0" w:color="1F3864"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shd w:val="clear" w:color="auto" w:fill="2E5496" w:themeFill="accent1"/>
      </w:tcPr>
    </w:tblStylePr>
    <w:tblStylePr w:type="lastRow">
      <w:pPr>
        <w:spacing w:before="0" w:after="0" w:line="240" w:lineRule="auto"/>
      </w:pPr>
      <w:rPr>
        <w:b/>
        <w:bCs/>
      </w:rPr>
      <w:tblPr/>
      <w:tcPr>
        <w:tcBorders>
          <w:top w:val="double" w:sz="6"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1" w:themeFillTint="3F"/>
      </w:tcPr>
    </w:tblStylePr>
    <w:tblStylePr w:type="band1Horz">
      <w:tblPr/>
      <w:tcPr>
        <w:tcBorders>
          <w:insideH w:val="nil"/>
          <w:insideV w:val="nil"/>
        </w:tcBorders>
        <w:shd w:val="clear" w:color="auto" w:fill="D9E2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shd w:val="clear" w:color="auto" w:fill="1F3864" w:themeFill="accent4"/>
      </w:tcPr>
    </w:tblStylePr>
    <w:tblStylePr w:type="lastRow">
      <w:pPr>
        <w:spacing w:before="0" w:after="0" w:line="240" w:lineRule="auto"/>
      </w:pPr>
      <w:rPr>
        <w:b/>
        <w:bCs/>
      </w:rPr>
      <w:tblPr/>
      <w:tcPr>
        <w:tcBorders>
          <w:top w:val="double" w:sz="6"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2F3" w:themeFill="accent4" w:themeFillTint="3F"/>
      </w:tcPr>
    </w:tblStylePr>
    <w:tblStylePr w:type="band1Horz">
      <w:tblPr/>
      <w:tcPr>
        <w:tcBorders>
          <w:insideH w:val="nil"/>
          <w:insideV w:val="nil"/>
        </w:tcBorders>
        <w:shd w:val="clear" w:color="auto" w:fill="D9E2F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49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496" w:themeFill="accent1"/>
      </w:tcPr>
    </w:tblStylePr>
    <w:tblStylePr w:type="lastCol">
      <w:rPr>
        <w:b/>
        <w:bCs/>
        <w:color w:val="FFFFFF" w:themeColor="background1"/>
      </w:rPr>
      <w:tblPr/>
      <w:tcPr>
        <w:tcBorders>
          <w:left w:val="nil"/>
          <w:right w:val="nil"/>
          <w:insideH w:val="nil"/>
          <w:insideV w:val="nil"/>
        </w:tcBorders>
        <w:shd w:val="clear" w:color="auto" w:fill="2E549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386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F3864" w:themeFill="accent4"/>
      </w:tcPr>
    </w:tblStylePr>
    <w:tblStylePr w:type="lastCol">
      <w:rPr>
        <w:b/>
        <w:bCs/>
        <w:color w:val="FFFFFF" w:themeColor="background1"/>
      </w:rPr>
      <w:tblPr/>
      <w:tcPr>
        <w:tcBorders>
          <w:left w:val="nil"/>
          <w:right w:val="nil"/>
          <w:insideH w:val="nil"/>
          <w:insideV w:val="nil"/>
        </w:tcBorders>
        <w:shd w:val="clear" w:color="auto" w:fill="1F386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386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2E5496" w:themeColor="accent1"/>
        <w:bottom w:val="single" w:sz="8" w:space="0" w:color="2E549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2E5496" w:themeColor="accent1"/>
        </w:tcBorders>
      </w:tcPr>
    </w:tblStylePr>
    <w:tblStylePr w:type="lastRow">
      <w:rPr>
        <w:b/>
        <w:bCs/>
        <w:color w:val="1F3864" w:themeColor="text2"/>
      </w:rPr>
      <w:tblPr/>
      <w:tcPr>
        <w:tcBorders>
          <w:top w:val="single" w:sz="8" w:space="0" w:color="2E5496" w:themeColor="accent1"/>
          <w:bottom w:val="single" w:sz="8" w:space="0" w:color="2E5496" w:themeColor="accent1"/>
        </w:tcBorders>
      </w:tcPr>
    </w:tblStylePr>
    <w:tblStylePr w:type="firstCol">
      <w:rPr>
        <w:b/>
        <w:bCs/>
      </w:rPr>
    </w:tblStylePr>
    <w:tblStylePr w:type="lastCol">
      <w:rPr>
        <w:b/>
        <w:bCs/>
      </w:rPr>
      <w:tblPr/>
      <w:tcPr>
        <w:tcBorders>
          <w:top w:val="single" w:sz="8" w:space="0" w:color="2E5496" w:themeColor="accent1"/>
          <w:bottom w:val="single" w:sz="8" w:space="0" w:color="2E5496" w:themeColor="accent1"/>
        </w:tcBorders>
      </w:tcPr>
    </w:tblStylePr>
    <w:tblStylePr w:type="band1Vert">
      <w:tblPr/>
      <w:tcPr>
        <w:shd w:val="clear" w:color="auto" w:fill="D9E2F3" w:themeFill="accent1" w:themeFillTint="3F"/>
      </w:tcPr>
    </w:tblStylePr>
    <w:tblStylePr w:type="band1Horz">
      <w:tblPr/>
      <w:tcPr>
        <w:shd w:val="clear" w:color="auto" w:fill="D9E2F3"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3864"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3864"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1F3864" w:themeColor="accent4"/>
        <w:bottom w:val="single" w:sz="8" w:space="0" w:color="1F3864"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1F3864" w:themeColor="accent4"/>
        </w:tcBorders>
      </w:tcPr>
    </w:tblStylePr>
    <w:tblStylePr w:type="lastRow">
      <w:rPr>
        <w:b/>
        <w:bCs/>
        <w:color w:val="1F3864" w:themeColor="text2"/>
      </w:rPr>
      <w:tblPr/>
      <w:tcPr>
        <w:tcBorders>
          <w:top w:val="single" w:sz="8" w:space="0" w:color="1F3864" w:themeColor="accent4"/>
          <w:bottom w:val="single" w:sz="8" w:space="0" w:color="1F3864" w:themeColor="accent4"/>
        </w:tcBorders>
      </w:tcPr>
    </w:tblStylePr>
    <w:tblStylePr w:type="firstCol">
      <w:rPr>
        <w:b/>
        <w:bCs/>
      </w:rPr>
    </w:tblStylePr>
    <w:tblStylePr w:type="lastCol">
      <w:rPr>
        <w:b/>
        <w:bCs/>
      </w:rPr>
      <w:tblPr/>
      <w:tcPr>
        <w:tcBorders>
          <w:top w:val="single" w:sz="8" w:space="0" w:color="1F3864" w:themeColor="accent4"/>
          <w:bottom w:val="single" w:sz="8" w:space="0" w:color="1F3864" w:themeColor="accent4"/>
        </w:tcBorders>
      </w:tcPr>
    </w:tblStylePr>
    <w:tblStylePr w:type="band1Vert">
      <w:tblPr/>
      <w:tcPr>
        <w:shd w:val="clear" w:color="auto" w:fill="D9E2F3" w:themeFill="accent4" w:themeFillTint="3F"/>
      </w:tcPr>
    </w:tblStylePr>
    <w:tblStylePr w:type="band1Horz">
      <w:tblPr/>
      <w:tcPr>
        <w:shd w:val="clear" w:color="auto" w:fill="D9E2F3"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3864"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3864"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2E5496" w:themeColor="accent1"/>
          <w:right w:val="nil"/>
          <w:insideH w:val="nil"/>
          <w:insideV w:val="nil"/>
        </w:tcBorders>
        <w:shd w:val="clear" w:color="auto" w:fill="FFFFFF" w:themeFill="background1"/>
      </w:tcPr>
    </w:tblStylePr>
    <w:tblStylePr w:type="lastRow">
      <w:tblPr/>
      <w:tcPr>
        <w:tcBorders>
          <w:top w:val="single" w:sz="8" w:space="0" w:color="2E549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E5496" w:themeColor="accent1"/>
          <w:insideH w:val="nil"/>
          <w:insideV w:val="nil"/>
        </w:tcBorders>
        <w:shd w:val="clear" w:color="auto" w:fill="FFFFFF" w:themeFill="background1"/>
      </w:tcPr>
    </w:tblStylePr>
    <w:tblStylePr w:type="lastCol">
      <w:tblPr/>
      <w:tcPr>
        <w:tcBorders>
          <w:top w:val="nil"/>
          <w:left w:val="single" w:sz="8" w:space="0" w:color="2E549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1" w:themeFillTint="3F"/>
      </w:tcPr>
    </w:tblStylePr>
    <w:tblStylePr w:type="band1Horz">
      <w:tblPr/>
      <w:tcPr>
        <w:tcBorders>
          <w:top w:val="nil"/>
          <w:bottom w:val="nil"/>
          <w:insideH w:val="nil"/>
          <w:insideV w:val="nil"/>
        </w:tcBorders>
        <w:shd w:val="clear" w:color="auto" w:fill="D9E2F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tblPr/>
      <w:tcPr>
        <w:tcBorders>
          <w:top w:val="single" w:sz="8" w:space="0" w:color="1F386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3864" w:themeColor="accent4"/>
          <w:insideH w:val="nil"/>
          <w:insideV w:val="nil"/>
        </w:tcBorders>
        <w:shd w:val="clear" w:color="auto" w:fill="FFFFFF" w:themeFill="background1"/>
      </w:tcPr>
    </w:tblStylePr>
    <w:tblStylePr w:type="lastCol">
      <w:tblPr/>
      <w:tcPr>
        <w:tcBorders>
          <w:top w:val="nil"/>
          <w:left w:val="single" w:sz="8" w:space="0" w:color="1F386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2F3" w:themeFill="accent4" w:themeFillTint="3F"/>
      </w:tcPr>
    </w:tblStylePr>
    <w:tblStylePr w:type="band1Horz">
      <w:tblPr/>
      <w:tcPr>
        <w:tcBorders>
          <w:top w:val="nil"/>
          <w:bottom w:val="nil"/>
          <w:insideH w:val="nil"/>
          <w:insideV w:val="nil"/>
        </w:tcBorders>
        <w:shd w:val="clear" w:color="auto" w:fill="D9E2F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2E5496" w:themeColor="accent1" w:themeTint="BF"/>
        <w:left w:val="single" w:sz="8" w:space="0" w:color="2E5496" w:themeColor="accent1" w:themeTint="BF"/>
        <w:bottom w:val="single" w:sz="8" w:space="0" w:color="2E5496" w:themeColor="accent1" w:themeTint="BF"/>
        <w:right w:val="single" w:sz="8" w:space="0" w:color="2E5496" w:themeColor="accent1" w:themeTint="BF"/>
        <w:insideH w:val="single" w:sz="8" w:space="0" w:color="2E5496" w:themeColor="accent1" w:themeTint="BF"/>
        <w:insideV w:val="single" w:sz="8" w:space="0" w:color="2E5496" w:themeColor="accent1" w:themeTint="BF"/>
      </w:tblBorders>
      <w:tblCellMar>
        <w:top w:w="0" w:type="dxa"/>
        <w:left w:w="108" w:type="dxa"/>
        <w:bottom w:w="0" w:type="dxa"/>
        <w:right w:w="108" w:type="dxa"/>
      </w:tblCellMar>
    </w:tblPr>
    <w:tcPr>
      <w:shd w:val="clear" w:color="auto" w:fill="D9E2F3" w:themeFill="accent1" w:themeFillTint="3F"/>
    </w:tcPr>
    <w:tblStylePr w:type="firstRow">
      <w:rPr>
        <w:b/>
        <w:bCs/>
      </w:rPr>
    </w:tblStylePr>
    <w:tblStylePr w:type="lastRow">
      <w:rPr>
        <w:b/>
        <w:bCs/>
      </w:rPr>
      <w:tblPr/>
      <w:tcPr>
        <w:tcBorders>
          <w:top w:val="single" w:sz="18" w:space="0" w:color="2E5496" w:themeColor="accent1" w:themeTint="BF"/>
        </w:tcBorders>
      </w:tcPr>
    </w:tblStylePr>
    <w:tblStylePr w:type="firstCol">
      <w:rPr>
        <w:b/>
        <w:bCs/>
      </w:rPr>
    </w:tblStylePr>
    <w:tblStylePr w:type="lastCol">
      <w:rPr>
        <w:b/>
        <w:bCs/>
      </w:r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D9E2F3" w:themeColor="accent4" w:themeTint="BF"/>
        <w:left w:val="single" w:sz="8" w:space="0" w:color="D9E2F3" w:themeColor="accent4" w:themeTint="BF"/>
        <w:bottom w:val="single" w:sz="8" w:space="0" w:color="D9E2F3" w:themeColor="accent4" w:themeTint="BF"/>
        <w:right w:val="single" w:sz="8" w:space="0" w:color="D9E2F3" w:themeColor="accent4" w:themeTint="BF"/>
        <w:insideH w:val="single" w:sz="8" w:space="0" w:color="D9E2F3" w:themeColor="accent4" w:themeTint="BF"/>
        <w:insideV w:val="single" w:sz="8" w:space="0" w:color="D9E2F3" w:themeColor="accent4" w:themeTint="BF"/>
      </w:tblBorders>
      <w:tblCellMar>
        <w:top w:w="0" w:type="dxa"/>
        <w:left w:w="108" w:type="dxa"/>
        <w:bottom w:w="0" w:type="dxa"/>
        <w:right w:w="108" w:type="dxa"/>
      </w:tblCellMar>
    </w:tblPr>
    <w:tcPr>
      <w:shd w:val="clear" w:color="auto" w:fill="D9E2F3" w:themeFill="accent4" w:themeFillTint="3F"/>
    </w:tcPr>
    <w:tblStylePr w:type="firstRow">
      <w:rPr>
        <w:b/>
        <w:bCs/>
      </w:rPr>
    </w:tblStylePr>
    <w:tblStylePr w:type="lastRow">
      <w:rPr>
        <w:b/>
        <w:bCs/>
      </w:rPr>
      <w:tblPr/>
      <w:tcPr>
        <w:tcBorders>
          <w:top w:val="single" w:sz="18" w:space="0" w:color="D9E2F3" w:themeColor="accent4" w:themeTint="BF"/>
        </w:tcBorders>
      </w:tcPr>
    </w:tblStylePr>
    <w:tblStylePr w:type="firstCol">
      <w:rPr>
        <w:b/>
        <w:bCs/>
      </w:rPr>
    </w:tblStylePr>
    <w:tblStylePr w:type="lastCol">
      <w:rPr>
        <w:b/>
        <w:bCs/>
      </w:r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E5496" w:themeColor="accent1"/>
        <w:left w:val="single" w:sz="8" w:space="0" w:color="2E5496" w:themeColor="accent1"/>
        <w:bottom w:val="single" w:sz="8" w:space="0" w:color="2E5496" w:themeColor="accent1"/>
        <w:right w:val="single" w:sz="8" w:space="0" w:color="2E5496" w:themeColor="accent1"/>
        <w:insideH w:val="single" w:sz="8" w:space="0" w:color="2E5496" w:themeColor="accent1"/>
        <w:insideV w:val="single" w:sz="8" w:space="0" w:color="2E5496" w:themeColor="accent1"/>
      </w:tblBorders>
      <w:tblCellMar>
        <w:top w:w="0" w:type="dxa"/>
        <w:left w:w="108" w:type="dxa"/>
        <w:bottom w:w="0" w:type="dxa"/>
        <w:right w:w="108" w:type="dxa"/>
      </w:tblCellMar>
    </w:tblPr>
    <w:tcPr>
      <w:shd w:val="clear" w:color="auto" w:fill="D9E2F3"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D9E2F3" w:themeFill="accent1" w:themeFillTint="7F"/>
      </w:tcPr>
    </w:tblStylePr>
    <w:tblStylePr w:type="band1Horz">
      <w:tblPr/>
      <w:tcPr>
        <w:tcBorders>
          <w:insideH w:val="single" w:sz="6" w:space="0" w:color="2E5496" w:themeColor="accent1"/>
          <w:insideV w:val="single" w:sz="6" w:space="0" w:color="2E5496" w:themeColor="accent1"/>
        </w:tcBorders>
        <w:shd w:val="clear" w:color="auto" w:fill="D9E2F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1F3864" w:themeColor="accent4"/>
        <w:left w:val="single" w:sz="8" w:space="0" w:color="1F3864" w:themeColor="accent4"/>
        <w:bottom w:val="single" w:sz="8" w:space="0" w:color="1F3864" w:themeColor="accent4"/>
        <w:right w:val="single" w:sz="8" w:space="0" w:color="1F3864" w:themeColor="accent4"/>
        <w:insideH w:val="single" w:sz="8" w:space="0" w:color="1F3864" w:themeColor="accent4"/>
        <w:insideV w:val="single" w:sz="8" w:space="0" w:color="1F3864" w:themeColor="accent4"/>
      </w:tblBorders>
      <w:tblCellMar>
        <w:top w:w="0" w:type="dxa"/>
        <w:left w:w="108" w:type="dxa"/>
        <w:bottom w:w="0" w:type="dxa"/>
        <w:right w:w="108" w:type="dxa"/>
      </w:tblCellMar>
    </w:tblPr>
    <w:tcPr>
      <w:shd w:val="clear" w:color="auto" w:fill="D9E2F3" w:themeFill="accent4" w:themeFillTint="3F"/>
    </w:tcPr>
    <w:tblStylePr w:type="firstRow">
      <w:rPr>
        <w:b/>
        <w:bCs/>
        <w:color w:val="000000" w:themeColor="text1"/>
      </w:rPr>
      <w:tblPr/>
      <w:tcPr>
        <w:shd w:val="clear" w:color="auto" w:fill="D9E2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4" w:themeFillTint="33"/>
      </w:tcPr>
    </w:tblStylePr>
    <w:tblStylePr w:type="band1Vert">
      <w:tblPr/>
      <w:tcPr>
        <w:shd w:val="clear" w:color="auto" w:fill="D9E2F3" w:themeFill="accent4" w:themeFillTint="7F"/>
      </w:tcPr>
    </w:tblStylePr>
    <w:tblStylePr w:type="band1Horz">
      <w:tblPr/>
      <w:tcPr>
        <w:tcBorders>
          <w:insideH w:val="single" w:sz="6" w:space="0" w:color="1F3864" w:themeColor="accent4"/>
          <w:insideV w:val="single" w:sz="6" w:space="0" w:color="1F3864" w:themeColor="accent4"/>
        </w:tcBorders>
        <w:shd w:val="clear" w:color="auto" w:fill="D9E2F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E549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E549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E549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9E2F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386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386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386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E2F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E2F3"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2E549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1" w:themeFillShade="BF"/>
      </w:tcPr>
    </w:tblStylePr>
    <w:tblStylePr w:type="band1Vert">
      <w:tblPr/>
      <w:tcPr>
        <w:tcBorders>
          <w:top w:val="nil"/>
          <w:left w:val="nil"/>
          <w:bottom w:val="nil"/>
          <w:right w:val="nil"/>
          <w:insideH w:val="nil"/>
          <w:insideV w:val="nil"/>
        </w:tcBorders>
        <w:shd w:val="clear" w:color="auto" w:fill="1F3864" w:themeFill="accent1" w:themeFillShade="BF"/>
      </w:tcPr>
    </w:tblStylePr>
    <w:tblStylePr w:type="band1Horz">
      <w:tblPr/>
      <w:tcPr>
        <w:tcBorders>
          <w:top w:val="nil"/>
          <w:left w:val="nil"/>
          <w:bottom w:val="nil"/>
          <w:right w:val="nil"/>
          <w:insideH w:val="nil"/>
          <w:insideV w:val="nil"/>
        </w:tcBorders>
        <w:shd w:val="clear" w:color="auto" w:fill="1F3864"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1F386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86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F38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F3864" w:themeFill="accent4" w:themeFillShade="BF"/>
      </w:tcPr>
    </w:tblStylePr>
    <w:tblStylePr w:type="band1Vert">
      <w:tblPr/>
      <w:tcPr>
        <w:tcBorders>
          <w:top w:val="nil"/>
          <w:left w:val="nil"/>
          <w:bottom w:val="nil"/>
          <w:right w:val="nil"/>
          <w:insideH w:val="nil"/>
          <w:insideV w:val="nil"/>
        </w:tcBorders>
        <w:shd w:val="clear" w:color="auto" w:fill="1F3864" w:themeFill="accent4" w:themeFillShade="BF"/>
      </w:tcPr>
    </w:tblStylePr>
    <w:tblStylePr w:type="band1Horz">
      <w:tblPr/>
      <w:tcPr>
        <w:tcBorders>
          <w:top w:val="nil"/>
          <w:left w:val="nil"/>
          <w:bottom w:val="nil"/>
          <w:right w:val="nil"/>
          <w:insideH w:val="nil"/>
          <w:insideV w:val="nil"/>
        </w:tcBorders>
        <w:shd w:val="clear" w:color="auto" w:fill="1F3864"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5496" w:themeFill="accent5" w:themeFillShade="BF"/>
      </w:tcPr>
    </w:tblStylePr>
    <w:tblStylePr w:type="band1Vert">
      <w:tblPr/>
      <w:tcPr>
        <w:tcBorders>
          <w:top w:val="nil"/>
          <w:left w:val="nil"/>
          <w:bottom w:val="nil"/>
          <w:right w:val="nil"/>
          <w:insideH w:val="nil"/>
          <w:insideV w:val="nil"/>
        </w:tcBorders>
        <w:shd w:val="clear" w:color="auto" w:fill="2E5496" w:themeFill="accent5" w:themeFillShade="BF"/>
      </w:tcPr>
    </w:tblStylePr>
    <w:tblStylePr w:type="band1Horz">
      <w:tblPr/>
      <w:tcPr>
        <w:tcBorders>
          <w:top w:val="nil"/>
          <w:left w:val="nil"/>
          <w:bottom w:val="nil"/>
          <w:right w:val="nil"/>
          <w:insideH w:val="nil"/>
          <w:insideV w:val="nil"/>
        </w:tcBorders>
        <w:shd w:val="clear" w:color="auto" w:fill="2E5496"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2E5496" w:themeColor="accent1"/>
        <w:bottom w:val="single" w:sz="4" w:space="0" w:color="2E5496" w:themeColor="accent1"/>
        <w:right w:val="single" w:sz="4" w:space="0" w:color="2E549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1" w:themeFillShade="99"/>
      </w:tcPr>
    </w:tblStylePr>
    <w:tblStylePr w:type="firstCol">
      <w:rPr>
        <w:color w:val="FFFFFF" w:themeColor="background1"/>
      </w:rPr>
      <w:tblPr/>
      <w:tcPr>
        <w:tcBorders>
          <w:top w:val="nil"/>
          <w:left w:val="nil"/>
          <w:bottom w:val="nil"/>
          <w:right w:val="nil"/>
          <w:insideH w:val="single" w:sz="4" w:space="0" w:color="1F3864" w:themeColor="accent1" w:themeShade="99"/>
          <w:insideV w:val="nil"/>
        </w:tcBorders>
        <w:shd w:val="clear" w:color="auto" w:fill="1F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1" w:themeFillShade="99"/>
      </w:tcPr>
    </w:tblStylePr>
    <w:tblStylePr w:type="band1Vert">
      <w:tblPr/>
      <w:tcPr>
        <w:shd w:val="clear" w:color="auto" w:fill="D9E2F3" w:themeFill="accent1" w:themeFillTint="66"/>
      </w:tcPr>
    </w:tblStylePr>
    <w:tblStylePr w:type="band1Horz">
      <w:tblPr/>
      <w:tcPr>
        <w:shd w:val="clear" w:color="auto" w:fill="D9E2F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1F3864"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1F386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1F3864" w:themeColor="accent4"/>
        <w:bottom w:val="single" w:sz="4" w:space="0" w:color="1F3864" w:themeColor="accent4"/>
        <w:right w:val="single" w:sz="4" w:space="0" w:color="1F3864"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864" w:themeFill="accent4" w:themeFillShade="99"/>
      </w:tcPr>
    </w:tblStylePr>
    <w:tblStylePr w:type="firstCol">
      <w:rPr>
        <w:color w:val="FFFFFF" w:themeColor="background1"/>
      </w:rPr>
      <w:tblPr/>
      <w:tcPr>
        <w:tcBorders>
          <w:top w:val="nil"/>
          <w:left w:val="nil"/>
          <w:bottom w:val="nil"/>
          <w:right w:val="nil"/>
          <w:insideH w:val="single" w:sz="4" w:space="0" w:color="1F3864" w:themeColor="accent4" w:themeShade="99"/>
          <w:insideV w:val="nil"/>
        </w:tcBorders>
        <w:shd w:val="clear" w:color="auto" w:fill="1F386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F3864" w:themeFill="accent4" w:themeFillShade="99"/>
      </w:tcPr>
    </w:tblStylePr>
    <w:tblStylePr w:type="band1Vert">
      <w:tblPr/>
      <w:tcPr>
        <w:shd w:val="clear" w:color="auto" w:fill="D9E2F3" w:themeFill="accent4" w:themeFillTint="66"/>
      </w:tcPr>
    </w:tblStylePr>
    <w:tblStylePr w:type="band1Horz">
      <w:tblPr/>
      <w:tcPr>
        <w:shd w:val="clear" w:color="auto" w:fill="D9E2F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1F3864" w:themeFill="accent4" w:themeFillShade="CC"/>
      </w:tcPr>
    </w:tblStylePr>
    <w:tblStylePr w:type="lastRow">
      <w:rPr>
        <w:b/>
        <w:bCs/>
        <w:color w:val="1F386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E2F3"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2F3" w:themeFill="accent4" w:themeFillTint="3F"/>
      </w:tcPr>
    </w:tblStylePr>
    <w:tblStylePr w:type="band1Horz">
      <w:tblPr/>
      <w:tcPr>
        <w:shd w:val="clear" w:color="auto" w:fill="D9E2F3"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2E5496" w:themeFill="accent5" w:themeFillShade="CC"/>
      </w:tcPr>
    </w:tblStylePr>
    <w:tblStylePr w:type="lastRow">
      <w:rPr>
        <w:b/>
        <w:bCs/>
        <w:color w:val="2E549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D9E2F3" w:themeFill="accent1" w:themeFillTint="66"/>
      </w:tcPr>
    </w:tblStylePr>
    <w:tblStylePr w:type="lastRow">
      <w:rPr>
        <w:b/>
        <w:bCs/>
        <w:color w:val="000000" w:themeColor="text1"/>
      </w:rPr>
      <w:tblPr/>
      <w:tcPr>
        <w:shd w:val="clear" w:color="auto" w:fill="D9E2F3" w:themeFill="accent1" w:themeFillTint="66"/>
      </w:tcPr>
    </w:tblStylePr>
    <w:tblStylePr w:type="firstCol">
      <w:rPr>
        <w:color w:val="FFFFFF" w:themeColor="background1"/>
      </w:rPr>
      <w:tblPr/>
      <w:tcPr>
        <w:shd w:val="clear" w:color="auto" w:fill="1F3864" w:themeFill="accent1" w:themeFillShade="BF"/>
      </w:tcPr>
    </w:tblStylePr>
    <w:tblStylePr w:type="lastCol">
      <w:rPr>
        <w:color w:val="FFFFFF" w:themeColor="background1"/>
      </w:rPr>
      <w:tblPr/>
      <w:tcPr>
        <w:shd w:val="clear" w:color="auto" w:fill="1F3864" w:themeFill="accent1" w:themeFillShade="BF"/>
      </w:tcPr>
    </w:tblStylePr>
    <w:tblStylePr w:type="band1Vert">
      <w:tblPr/>
      <w:tcPr>
        <w:shd w:val="clear" w:color="auto" w:fill="D9E2F3" w:themeFill="accent1" w:themeFillTint="7F"/>
      </w:tcPr>
    </w:tblStylePr>
    <w:tblStylePr w:type="band1Horz">
      <w:tblPr/>
      <w:tcPr>
        <w:shd w:val="clear" w:color="auto" w:fill="D9E2F3"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4" w:themeFillTint="33"/>
    </w:tcPr>
    <w:tblStylePr w:type="firstRow">
      <w:rPr>
        <w:b/>
        <w:bCs/>
      </w:rPr>
      <w:tblPr/>
      <w:tcPr>
        <w:shd w:val="clear" w:color="auto" w:fill="D9E2F3" w:themeFill="accent4" w:themeFillTint="66"/>
      </w:tcPr>
    </w:tblStylePr>
    <w:tblStylePr w:type="lastRow">
      <w:rPr>
        <w:b/>
        <w:bCs/>
        <w:color w:val="000000" w:themeColor="text1"/>
      </w:rPr>
      <w:tblPr/>
      <w:tcPr>
        <w:shd w:val="clear" w:color="auto" w:fill="D9E2F3" w:themeFill="accent4" w:themeFillTint="66"/>
      </w:tcPr>
    </w:tblStylePr>
    <w:tblStylePr w:type="firstCol">
      <w:rPr>
        <w:color w:val="FFFFFF" w:themeColor="background1"/>
      </w:rPr>
      <w:tblPr/>
      <w:tcPr>
        <w:shd w:val="clear" w:color="auto" w:fill="1F3864" w:themeFill="accent4" w:themeFillShade="BF"/>
      </w:tcPr>
    </w:tblStylePr>
    <w:tblStylePr w:type="lastCol">
      <w:rPr>
        <w:color w:val="FFFFFF" w:themeColor="background1"/>
      </w:rPr>
      <w:tblPr/>
      <w:tcPr>
        <w:shd w:val="clear" w:color="auto" w:fill="1F3864" w:themeFill="accent4" w:themeFillShade="BF"/>
      </w:tcPr>
    </w:tblStylePr>
    <w:tblStylePr w:type="band1Vert">
      <w:tblPr/>
      <w:tcPr>
        <w:shd w:val="clear" w:color="auto" w:fill="D9E2F3" w:themeFill="accent4" w:themeFillTint="7F"/>
      </w:tcPr>
    </w:tblStylePr>
    <w:tblStylePr w:type="band1Horz">
      <w:tblPr/>
      <w:tcPr>
        <w:shd w:val="clear" w:color="auto" w:fill="D9E2F3"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2E5496" w:themeFill="accent5" w:themeFillShade="BF"/>
      </w:tcPr>
    </w:tblStylePr>
    <w:tblStylePr w:type="lastCol">
      <w:rPr>
        <w:color w:val="FFFFFF" w:themeColor="background1"/>
      </w:rPr>
      <w:tblPr/>
      <w:tcPr>
        <w:shd w:val="clear" w:color="auto" w:fill="2E5496"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SSLM">
      <a:dk1>
        <a:srgbClr val="1F2430"/>
      </a:dk1>
      <a:lt1>
        <a:srgbClr val="FFFFFF"/>
      </a:lt1>
      <a:dk2>
        <a:srgbClr val="1F3864"/>
      </a:dk2>
      <a:lt2>
        <a:srgbClr val="D9E2F3"/>
      </a:lt2>
      <a:accent1>
        <a:srgbClr val="1F3864"/>
      </a:accent1>
      <a:accent2>
        <a:srgbClr val="C55A11"/>
      </a:accent2>
      <a:accent3>
        <a:srgbClr val="548235"/>
      </a:accent3>
      <a:accent4>
        <a:srgbClr val="2E5496"/>
      </a:accent4>
      <a:accent5>
        <a:srgbClr val="9DC3E6"/>
      </a:accent5>
      <a:accent6>
        <a:srgbClr val="5B6472"/>
      </a:accent6>
      <a:hlink>
        <a:srgbClr val="2E5496"/>
      </a:hlink>
      <a:folHlink>
        <a:srgbClr val="C55A11"/>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