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color w:val="8A8A8A"/>
          <w:sz w:val="20"/>
        </w:rPr>
        <w:t>SSLM · Simple Solution, Low Maintenance</w:t>
      </w:r>
    </w:p>
    <w:p>
      <w:pPr>
        <w:jc w:val="center"/>
      </w:pPr>
      <w:r>
        <w:rPr>
          <w:rFonts w:ascii="Calibri" w:hAnsi="Calibri"/>
          <w:b/>
          <w:color w:val="1F3864"/>
          <w:sz w:val="56"/>
        </w:rPr>
        <w:t>The RAID Log &amp; Escalation Guide</w:t>
      </w:r>
    </w:p>
    <w:p>
      <w:pPr>
        <w:jc w:val="center"/>
      </w:pPr>
      <w:r>
        <w:rPr>
          <w:i/>
          <w:color w:val="595959"/>
          <w:sz w:val="26"/>
        </w:rPr>
        <w:t>When a risk, issue, or question needs to go beyond the Project Manager</w:t>
      </w:r>
    </w:p>
    <w:p>
      <w:r>
        <w:t>Purpose. The RAID Log only protects a project if items are escalated at the right time — not so early that the SteerCo drowns in noise, and not so late that a Red status arrives as a surprise. This guide sets out simple thresholds for when a risk or issue needs to move beyond the Project Manager.</w:t>
      </w:r>
    </w:p>
    <w:p>
      <w:r>
        <w:t>What's inside: a risk escalation matrix, issue escalation thresholds, escalating questions and decisions to the SteerCo, when escalation becomes a Change Request, and keeping the log itself honest.</w:t>
      </w:r>
    </w:p>
    <w:p>
      <w:pPr>
        <w:pStyle w:val="Heading1"/>
      </w:pPr>
      <w:r>
        <w:t>1. Risk escalation</w:t>
      </w:r>
    </w:p>
    <w:p>
      <w:r>
        <w:t>Risks are scored on Impact and Probability, each High / Medium / Low. Use both together, not impact alone: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Impact \ Probability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Low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Medium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High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PM manages; note in SteerCo pack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Escalate to SteerCo this cycle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Escalate to SteerCo immediately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Medium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PM manages; log only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PM manages; note in SteerCo pack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Escalate to SteerCo this cycle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Low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PM manages; log only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PM manages; log only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PM manages; note in SteerCo pack</w:t>
            </w:r>
          </w:p>
        </w:tc>
      </w:tr>
    </w:tbl>
    <w:p>
      <w:r>
        <w:t>"Escalate immediately" means raising it with the Project Sponsor or SteerCo chair outside the normal meeting cycle — don't wait for the next scheduled SteerCo if a high-impact, high-probability risk emerges mid-cycle.</w:t>
      </w:r>
    </w:p>
    <w:p>
      <w:pPr>
        <w:pStyle w:val="Heading1"/>
      </w:pPr>
      <w:r>
        <w:t>2. Issue escalation</w:t>
      </w:r>
    </w:p>
    <w:p>
      <w:r>
        <w:t>Issues are scored on Impact alone, since by definition they have already occurred:</w:t>
      </w:r>
    </w:p>
    <w:p>
      <w:pPr>
        <w:pStyle w:val="ListBullet"/>
      </w:pPr>
      <w:r>
        <w:t>High impact — escalate to the SteerCo in the same reporting cycle it's identified in. Consider whether it also needs to go to the Project Sponsor outside the normal cycle.</w:t>
      </w:r>
    </w:p>
    <w:p>
      <w:pPr>
        <w:pStyle w:val="ListBullet"/>
      </w:pPr>
      <w:r>
        <w:t>Medium impact — report it in the next SteerCo pack; the PM manages resolution in the meantime.</w:t>
      </w:r>
    </w:p>
    <w:p>
      <w:pPr>
        <w:pStyle w:val="ListBullet"/>
      </w:pPr>
      <w:r>
        <w:t>Low impact — the PM resolves it directly; log it for visibility, no escalation needed.</w:t>
      </w:r>
    </w:p>
    <w:p>
      <w:r>
        <w:rPr>
          <w:rFonts w:ascii="Calibri" w:hAnsi="Calibri"/>
          <w:sz w:val="22"/>
        </w:rPr>
        <w:t>Vendor-caused risks and issues are common enough to call out specifically — log them the same way as any other RAID item, and reflect delivery or performance concerns in the Vendor Register too, so a vendor's track record stays visible over time. See the Vendor &amp; Procurement Management Guide.</w:t>
      </w:r>
    </w:p>
    <w:p>
      <w:pPr>
        <w:pStyle w:val="Heading1"/>
      </w:pPr>
      <w:r>
        <w:t>3. Escalating questions and decisions</w:t>
      </w:r>
    </w:p>
    <w:p>
      <w:r>
        <w:t>Not everything that needs SteerCo attention is a risk or issue. Use the SteerCo Question log for anything where the project needs direction, guidance, or a ruling the PM isn't authorised to make alone — log it with a Question ID and bring it to the next SteerCo (or sooner, if it's blocking progress). Once answered, record the outcome as a Decision, with its own Decision ID, in the same meeting's Minutes.</w:t>
      </w:r>
    </w:p>
    <w:p>
      <w:pPr>
        <w:pStyle w:val="Heading1"/>
      </w:pPr>
      <w:r>
        <w:t>4. When escalation becomes a Change Request</w:t>
      </w:r>
    </w:p>
    <w:p>
      <w:r>
        <w:t>Escalating a risk or issue is not the same as changing the project. If resolving it means changing scope, budget, timeline, or a deliverable, that requires a formal Change Request — see the Change Request &amp; Idea Intake Guide. Reference the RAID item that triggered it directly in the CR, so the reason for the change stays traceable.</w:t>
      </w:r>
    </w:p>
    <w:p>
      <w:pPr>
        <w:pStyle w:val="Heading1"/>
      </w:pPr>
      <w:r>
        <w:t>5. Keeping the log honest</w:t>
      </w:r>
    </w:p>
    <w:p>
      <w:pPr>
        <w:pStyle w:val="ListBullet"/>
      </w:pPr>
      <w:r>
        <w:t>Review every open item at least once per SteerCo cycle — a risk that hasn't been touched in a month is either resolved (close it) or being ignored (escalate it).</w:t>
      </w:r>
    </w:p>
    <w:p>
      <w:pPr>
        <w:pStyle w:val="ListBullet"/>
      </w:pPr>
      <w:r>
        <w:t>Don't let "Open" become the default forever. Every item should have a target date and a named owner, not just a description.</w:t>
      </w:r>
    </w:p>
    <w:p>
      <w:pPr>
        <w:pStyle w:val="ListBullet"/>
      </w:pPr>
      <w:r>
        <w:t>Closed doesn't mean deleted. Keep closed items in the log with their resolution — they feed the Lessons Learned Log at closure.</w:t>
      </w:r>
    </w:p>
    <w:p>
      <w:pPr>
        <w:pStyle w:val="Heading1"/>
      </w:pPr>
      <w:r>
        <w:t>6. What gets executive attention</w:t>
      </w:r>
    </w:p>
    <w:p>
      <w:pPr>
        <w:jc w:val="center"/>
      </w:pPr>
      <w:r>
        <w:rPr>
          <w:color w:val="8A8A8A"/>
          <w:sz w:val="20"/>
        </w:rPr>
        <w:t>Not every open item needs the board's attention every cycle — surfacing everything dilutes what actually matters.</w:t>
      </w:r>
    </w:p>
    <w:p>
      <w:pPr>
        <w:pStyle w:val="ListBullet"/>
      </w:pPr>
      <w:r>
        <w:t>Cap the items surfaced to the board or SteerCo to the top three by priority — the ones most threatening the critical path or the plan's outcomes.</w:t>
      </w:r>
    </w:p>
    <w:p>
      <w:pPr>
        <w:pStyle w:val="ListBullet"/>
      </w:pPr>
      <w:r>
        <w:t>An item stays at the top of that list until it's resolved, or the plan is formally changed to accommodate it — it doesn't quietly drop off between cycles.</w:t>
      </w:r>
    </w:p>
    <w:p>
      <w:pPr>
        <w:pStyle w:val="ListBullet"/>
      </w:pPr>
      <w:r>
        <w:t>As one item closes, the next-highest-priority item takes its place — this keeps focus on what's actually blocking progress, not on managing a long list.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1F3864"/>
    <w:rsid w:val="001F3864"/>
    <w:rsid w:val="002E5496"/>
    <w:rsid w:val="002E5496"/>
    <w:rsid w:val="001F3864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1F386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1F3864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1F386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864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1F3864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2E549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F386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F3864"/>
  </w:style>
  <w:style w:type="paragraph" w:styleId="BodyText2">
    <w:name w:val="Body Text 2"/>
    <w:basedOn w:val="Normal"/>
    <w:link w:val="BodyText2Char"/>
    <w:uiPriority w:val="99"/>
    <w:unhideWhenUsed/>
    <w:rsid w:val="001F386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F3864"/>
  </w:style>
  <w:style w:type="paragraph" w:styleId="BodyText3">
    <w:name w:val="Body Text 3"/>
    <w:basedOn w:val="Normal"/>
    <w:link w:val="BodyText3Char"/>
    <w:uiPriority w:val="99"/>
    <w:unhideWhenUsed/>
    <w:rsid w:val="001F386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F3864"/>
    <w:rPr>
      <w:sz w:val="16"/>
      <w:szCs w:val="16"/>
    </w:rPr>
  </w:style>
  <w:style w:type="paragraph" w:styleId="List">
    <w:name w:val="List"/>
    <w:basedOn w:val="Normal"/>
    <w:uiPriority w:val="99"/>
    <w:unhideWhenUsed/>
    <w:rsid w:val="001F3864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2E5496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2E5496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2E549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2E549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2E5496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2E5496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E5496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E5496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E549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E549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E5496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E549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E5496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1F3864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2E5496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2E5496" w:themeColor="accent1"/>
      </w:pBdr>
      <w:spacing w:before="200" w:after="280"/>
      <w:ind w:left="936" w:right="936"/>
    </w:pPr>
    <w:rPr>
      <w:b/>
      <w:bCs/>
      <w:i/>
      <w:iCs/>
      <w:color w:val="2E549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2E5496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2E5496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1F3864" w:themeColor="accent1" w:themeShade="BF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1F3864" w:themeColor="accent4" w:themeShade="BF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2E5496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1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  <w:shd w:val="clear" w:color="auto" w:fill="D9E2F3" w:themeFill="accent1" w:themeFillTint="3F"/>
      </w:tcPr>
    </w:tblStylePr>
    <w:tblStylePr w:type="band2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1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  <w:shd w:val="clear" w:color="auto" w:fill="D9E2F3" w:themeFill="accent4" w:themeFillTint="3F"/>
      </w:tcPr>
    </w:tblStylePr>
    <w:tblStylePr w:type="band2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E5496" w:themeColor="accen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3864" w:themeColor="accent4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E54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E549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E54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E54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F386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F386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F386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  <w:insideV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549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  <w:insideV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E2F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tcBorders>
          <w:insideH w:val="single" w:sz="6" w:space="0" w:color="2E5496" w:themeColor="accent1"/>
          <w:insideV w:val="single" w:sz="6" w:space="0" w:color="2E5496" w:themeColor="accent1"/>
        </w:tcBorders>
        <w:shd w:val="clear" w:color="auto" w:fill="D9E2F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E2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3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tcBorders>
          <w:insideH w:val="single" w:sz="6" w:space="0" w:color="1F3864" w:themeColor="accent4"/>
          <w:insideV w:val="single" w:sz="6" w:space="0" w:color="1F3864" w:themeColor="accent4"/>
        </w:tcBorders>
        <w:shd w:val="clear" w:color="auto" w:fill="D9E2F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E54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F386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2E5496" w:themeColor="accent1"/>
        <w:bottom w:val="single" w:sz="4" w:space="0" w:color="2E5496" w:themeColor="accent1"/>
        <w:right w:val="single" w:sz="4" w:space="0" w:color="2E5496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1" w:themeShade="99"/>
          <w:insideV w:val="nil"/>
        </w:tcBorders>
        <w:shd w:val="clear" w:color="auto" w:fill="1F38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99"/>
      </w:tcPr>
    </w:tblStylePr>
    <w:tblStylePr w:type="band1Vert">
      <w:tblPr/>
      <w:tcPr>
        <w:shd w:val="clear" w:color="auto" w:fill="D9E2F3" w:themeFill="accent1" w:themeFillTint="66"/>
      </w:tcPr>
    </w:tblStylePr>
    <w:tblStylePr w:type="band1Horz">
      <w:tblPr/>
      <w:tcPr>
        <w:shd w:val="clear" w:color="auto" w:fill="D9E2F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F3864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1F3864" w:themeColor="accent4"/>
        <w:bottom w:val="single" w:sz="4" w:space="0" w:color="1F3864" w:themeColor="accent4"/>
        <w:right w:val="single" w:sz="4" w:space="0" w:color="1F3864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4" w:themeShade="99"/>
          <w:insideV w:val="nil"/>
        </w:tcBorders>
        <w:shd w:val="clear" w:color="auto" w:fill="1F386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99"/>
      </w:tcPr>
    </w:tblStylePr>
    <w:tblStylePr w:type="band1Vert">
      <w:tblPr/>
      <w:tcPr>
        <w:shd w:val="clear" w:color="auto" w:fill="D9E2F3" w:themeFill="accent4" w:themeFillTint="66"/>
      </w:tcPr>
    </w:tblStylePr>
    <w:tblStylePr w:type="band1Horz">
      <w:tblPr/>
      <w:tcPr>
        <w:shd w:val="clear" w:color="auto" w:fill="D9E2F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3864" w:themeFill="accent4" w:themeFillShade="CC"/>
      </w:tcPr>
    </w:tblStylePr>
    <w:tblStylePr w:type="lastRow">
      <w:rPr>
        <w:b/>
        <w:bCs/>
        <w:color w:val="1F386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5496" w:themeFill="accent5" w:themeFillShade="CC"/>
      </w:tcPr>
    </w:tblStylePr>
    <w:tblStylePr w:type="lastRow">
      <w:rPr>
        <w:b/>
        <w:bCs/>
        <w:color w:val="2E549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D9E2F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3"/>
    </w:tcPr>
    <w:tblStylePr w:type="firstRow">
      <w:rPr>
        <w:b/>
        <w:bCs/>
      </w:rPr>
      <w:tblPr/>
      <w:tcPr>
        <w:shd w:val="clear" w:color="auto" w:fill="D9E2F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3864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E549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864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1F3864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2E549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F386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F3864"/>
  </w:style>
  <w:style w:type="paragraph" w:styleId="BodyText2">
    <w:name w:val="Body Text 2"/>
    <w:basedOn w:val="Normal"/>
    <w:link w:val="BodyText2Char"/>
    <w:uiPriority w:val="99"/>
    <w:unhideWhenUsed/>
    <w:rsid w:val="001F386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F3864"/>
  </w:style>
  <w:style w:type="paragraph" w:styleId="BodyText3">
    <w:name w:val="Body Text 3"/>
    <w:basedOn w:val="Normal"/>
    <w:link w:val="BodyText3Char"/>
    <w:uiPriority w:val="99"/>
    <w:unhideWhenUsed/>
    <w:rsid w:val="001F386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F3864"/>
    <w:rPr>
      <w:sz w:val="16"/>
      <w:szCs w:val="16"/>
    </w:rPr>
  </w:style>
  <w:style w:type="paragraph" w:styleId="List">
    <w:name w:val="List"/>
    <w:basedOn w:val="Normal"/>
    <w:uiPriority w:val="99"/>
    <w:unhideWhenUsed/>
    <w:rsid w:val="001F3864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2E5496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2E5496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2E549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2E549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2E5496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2E5496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E5496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E5496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E549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E549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E5496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E549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E5496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1F3864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2E5496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2E5496" w:themeColor="accent1"/>
      </w:pBdr>
      <w:spacing w:before="200" w:after="280"/>
      <w:ind w:left="936" w:right="936"/>
    </w:pPr>
    <w:rPr>
      <w:b/>
      <w:bCs/>
      <w:i/>
      <w:iCs/>
      <w:color w:val="2E549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2E5496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2E5496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1F3864" w:themeColor="accent1" w:themeShade="BF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1F3864" w:themeColor="accent4" w:themeShade="BF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2E5496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1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  <w:shd w:val="clear" w:color="auto" w:fill="D9E2F3" w:themeFill="accent1" w:themeFillTint="3F"/>
      </w:tcPr>
    </w:tblStylePr>
    <w:tblStylePr w:type="band2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1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  <w:shd w:val="clear" w:color="auto" w:fill="D9E2F3" w:themeFill="accent4" w:themeFillTint="3F"/>
      </w:tcPr>
    </w:tblStylePr>
    <w:tblStylePr w:type="band2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E5496" w:themeColor="accen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3864" w:themeColor="accent4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E54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E549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E54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E54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F386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F386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F386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  <w:insideV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549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  <w:insideV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E2F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tcBorders>
          <w:insideH w:val="single" w:sz="6" w:space="0" w:color="2E5496" w:themeColor="accent1"/>
          <w:insideV w:val="single" w:sz="6" w:space="0" w:color="2E5496" w:themeColor="accent1"/>
        </w:tcBorders>
        <w:shd w:val="clear" w:color="auto" w:fill="D9E2F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E2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3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tcBorders>
          <w:insideH w:val="single" w:sz="6" w:space="0" w:color="1F3864" w:themeColor="accent4"/>
          <w:insideV w:val="single" w:sz="6" w:space="0" w:color="1F3864" w:themeColor="accent4"/>
        </w:tcBorders>
        <w:shd w:val="clear" w:color="auto" w:fill="D9E2F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E54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F386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2E5496" w:themeColor="accent1"/>
        <w:bottom w:val="single" w:sz="4" w:space="0" w:color="2E5496" w:themeColor="accent1"/>
        <w:right w:val="single" w:sz="4" w:space="0" w:color="2E5496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1" w:themeShade="99"/>
          <w:insideV w:val="nil"/>
        </w:tcBorders>
        <w:shd w:val="clear" w:color="auto" w:fill="1F38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99"/>
      </w:tcPr>
    </w:tblStylePr>
    <w:tblStylePr w:type="band1Vert">
      <w:tblPr/>
      <w:tcPr>
        <w:shd w:val="clear" w:color="auto" w:fill="D9E2F3" w:themeFill="accent1" w:themeFillTint="66"/>
      </w:tcPr>
    </w:tblStylePr>
    <w:tblStylePr w:type="band1Horz">
      <w:tblPr/>
      <w:tcPr>
        <w:shd w:val="clear" w:color="auto" w:fill="D9E2F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F3864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1F3864" w:themeColor="accent4"/>
        <w:bottom w:val="single" w:sz="4" w:space="0" w:color="1F3864" w:themeColor="accent4"/>
        <w:right w:val="single" w:sz="4" w:space="0" w:color="1F3864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4" w:themeShade="99"/>
          <w:insideV w:val="nil"/>
        </w:tcBorders>
        <w:shd w:val="clear" w:color="auto" w:fill="1F386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99"/>
      </w:tcPr>
    </w:tblStylePr>
    <w:tblStylePr w:type="band1Vert">
      <w:tblPr/>
      <w:tcPr>
        <w:shd w:val="clear" w:color="auto" w:fill="D9E2F3" w:themeFill="accent4" w:themeFillTint="66"/>
      </w:tcPr>
    </w:tblStylePr>
    <w:tblStylePr w:type="band1Horz">
      <w:tblPr/>
      <w:tcPr>
        <w:shd w:val="clear" w:color="auto" w:fill="D9E2F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3864" w:themeFill="accent4" w:themeFillShade="CC"/>
      </w:tcPr>
    </w:tblStylePr>
    <w:tblStylePr w:type="lastRow">
      <w:rPr>
        <w:b/>
        <w:bCs/>
        <w:color w:val="1F386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5496" w:themeFill="accent5" w:themeFillShade="CC"/>
      </w:tcPr>
    </w:tblStylePr>
    <w:tblStylePr w:type="lastRow">
      <w:rPr>
        <w:b/>
        <w:bCs/>
        <w:color w:val="2E549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D9E2F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3"/>
    </w:tcPr>
    <w:tblStylePr w:type="firstRow">
      <w:rPr>
        <w:b/>
        <w:bCs/>
      </w:rPr>
      <w:tblPr/>
      <w:tcPr>
        <w:shd w:val="clear" w:color="auto" w:fill="D9E2F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SLM">
      <a:dk1>
        <a:srgbClr val="1F2430"/>
      </a:dk1>
      <a:lt1>
        <a:srgbClr val="FFFFFF"/>
      </a:lt1>
      <a:dk2>
        <a:srgbClr val="1F3864"/>
      </a:dk2>
      <a:lt2>
        <a:srgbClr val="D9E2F3"/>
      </a:lt2>
      <a:accent1>
        <a:srgbClr val="1F3864"/>
      </a:accent1>
      <a:accent2>
        <a:srgbClr val="C55A11"/>
      </a:accent2>
      <a:accent3>
        <a:srgbClr val="548235"/>
      </a:accent3>
      <a:accent4>
        <a:srgbClr val="2E5496"/>
      </a:accent4>
      <a:accent5>
        <a:srgbClr val="9DC3E6"/>
      </a:accent5>
      <a:accent6>
        <a:srgbClr val="5B6472"/>
      </a:accent6>
      <a:hlink>
        <a:srgbClr val="2E5496"/>
      </a:hlink>
      <a:folHlink>
        <a:srgbClr val="C55A1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