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Status Reporting Guide</w:t>
      </w:r>
    </w:p>
    <w:p>
      <w:pPr>
        <w:jc w:val="center"/>
      </w:pPr>
      <w:r>
        <w:rPr>
          <w:i/>
          <w:color w:val="595959"/>
          <w:sz w:val="26"/>
        </w:rPr>
        <w:t>How Weekly Update, Monthly Report, and Portfolio Roll-up connect</w:t>
      </w:r>
    </w:p>
    <w:p>
      <w:r>
        <w:t>Purpose. Status reporting only works if each level trusts the level below it. This guide sets out the reporting chain from weekly project status through to the Board of Management, the RAG and Trend language used at every level, and what belongs in each report so nothing gets lost or duplicated between them.</w:t>
      </w:r>
    </w:p>
    <w:p>
      <w:r>
        <w:t>What's inside: the reporting chain, RAG and Trend definitions, what goes in each report, and how a status change should trigger escalation rather than just a colour on a page.</w:t>
      </w:r>
    </w:p>
    <w:p>
      <w:pPr>
        <w:pStyle w:val="Heading1"/>
      </w:pPr>
      <w:r>
        <w:t>1. The reporting chain</w:t>
      </w:r>
    </w:p>
    <w:p>
      <w:r>
        <w:t>Status flows up through three levels, each synthesising the one below it rather than repeating it:</w:t>
      </w:r>
    </w:p>
    <w:p>
      <w:pPr>
        <w:pStyle w:val="ListBullet"/>
      </w:pPr>
      <w:r>
        <w:t>Weekly Update — the Project Manager's short-cycle status to stakeholders, produced every week.</w:t>
      </w:r>
    </w:p>
    <w:p>
      <w:pPr>
        <w:pStyle w:val="ListBullet"/>
      </w:pPr>
      <w:r>
        <w:t>Monthly Project Summary — the Project Manager synthesises that month's Weekly Updates and open RAID items into one project-level position, once a month.</w:t>
      </w:r>
    </w:p>
    <w:p>
      <w:pPr>
        <w:pStyle w:val="ListBullet"/>
      </w:pPr>
      <w:r>
        <w:t>Portfolio Roll-up to BoM — the PMO compiles every active project's Monthly Project Summary into one portfolio-level view for the Board of Management.</w:t>
      </w:r>
    </w:p>
    <w:p>
      <w:r>
        <w:t>Each level should take less effort to produce than the one below it — the Monthly Summary is a synthesis of four Weekly Updates, not a fifth independent report written from scratch.</w:t>
      </w:r>
    </w:p>
    <w:p>
      <w:pPr>
        <w:pStyle w:val="Heading1"/>
      </w:pPr>
      <w:r>
        <w:t>2. RAG and Trend</w:t>
      </w:r>
    </w:p>
    <w:p>
      <w:r>
        <w:t>Every level uses the same two-part status language:</w:t>
      </w:r>
    </w:p>
    <w:p>
      <w:pPr>
        <w:pStyle w:val="ListBullet"/>
      </w:pPr>
      <w:r>
        <w:t>RAG (Red / Amber / Green) — the current position. Green: on track against schedule, budget, and scope. Amber: a manageable slip or risk that the Project Manager is actively managing without needing SteerCo intervention yet. Red: a material slip, block, or risk that needs SteerCo or BoM attention now.</w:t>
      </w:r>
      <w:r>
        <w:rPr>
          <w:rFonts w:ascii="Calibri" w:hAnsi="Calibri"/>
          <w:sz w:val="22"/>
        </w:rPr>
        <w:t xml:space="preserve"> Budget figures in these reports are drawn from the Cost &amp; Resource Plan — see the Budget, Cost &amp; Resource Management Guide.</w:t>
      </w:r>
    </w:p>
    <w:p>
      <w:pPr>
        <w:pStyle w:val="ListBullet"/>
      </w:pPr>
      <w:r>
        <w:t>How milestone RAG rolls up to overall project RAG — the overall project RAG reported here, in the Monthly Project Summary, and in the Portfolio Roll-up is the worst RAG of any Level 1-2 milestone in the Project Plan. The Project Manager may override this mechanical result, but only with a one-line written rationale recorded alongside the status if the worst-of result would otherwise be misleading.</w:t>
      </w:r>
    </w:p>
    <w:p>
      <w:pPr>
        <w:pStyle w:val="ListBullet"/>
      </w:pPr>
      <w:r>
        <w:t>Trend (Improved / Stable / Declined) — the direction since the last report. A project can be Amber and Improved (recovering) or Green and Declined (worth watching even though it's not yet Amber) — Trend is what stops a status from feeling static.</w:t>
      </w:r>
    </w:p>
    <w:p>
      <w:r>
        <w:t>Set RAG and Trend honestly and independently of how the last report read. A string of Green reports followed by a sudden Red is usually a sign RAG wasn't being set honestly along the way.</w:t>
      </w:r>
    </w:p>
    <w:p>
      <w:pPr>
        <w:pStyle w:val="Heading1"/>
      </w:pPr>
      <w:r>
        <w:t>3. What goes in each report</w:t>
      </w:r>
    </w:p>
    <w:tbl>
      <w:tblPr>
        <w:tblStyle w:val="LightGrid-Accent1"/>
        <w:tblW w:type="auto" w:w="0"/>
        <w:tblLook w:firstColumn="1" w:firstRow="1" w:lastColumn="0" w:lastRow="0" w:noHBand="0" w:noVBand="1" w:val="04A0"/>
      </w:tblPr>
      <w:tblGrid>
        <w:gridCol w:w="4320"/>
        <w:gridCol w:w="4320"/>
      </w:tblGrid>
      <w:tr>
        <w:tc>
          <w:tcPr>
            <w:tcW w:type="dxa" w:w="4320"/>
          </w:tcPr>
          <w:p>
            <w:r>
              <w:rPr>
                <w:b/>
                <w:sz w:val="20"/>
              </w:rPr>
              <w:t>Report</w:t>
            </w:r>
          </w:p>
        </w:tc>
        <w:tc>
          <w:tcPr>
            <w:tcW w:type="dxa" w:w="4320"/>
          </w:tcPr>
          <w:p>
            <w:r>
              <w:rPr>
                <w:b/>
                <w:sz w:val="20"/>
              </w:rPr>
              <w:t>Typically includes</w:t>
            </w:r>
          </w:p>
        </w:tc>
      </w:tr>
      <w:tr>
        <w:tc>
          <w:tcPr>
            <w:tcW w:type="dxa" w:w="4320"/>
          </w:tcPr>
          <w:p>
            <w:r>
              <w:rPr>
                <w:sz w:val="20"/>
              </w:rPr>
              <w:t>Weekly Update</w:t>
            </w:r>
          </w:p>
        </w:tc>
        <w:tc>
          <w:tcPr>
            <w:tcW w:type="dxa" w:w="4320"/>
          </w:tcPr>
          <w:p>
            <w:r>
              <w:rPr>
                <w:sz w:val="20"/>
              </w:rPr>
              <w:t>Overall RAG and Trend, status summary, key achievements this week, key challenges/emerging risks, focus for next week, watch items for stakeholder awareness.</w:t>
            </w:r>
          </w:p>
        </w:tc>
      </w:tr>
      <w:tr>
        <w:tc>
          <w:tcPr>
            <w:tcW w:type="dxa" w:w="4320"/>
          </w:tcPr>
          <w:p>
            <w:r>
              <w:rPr>
                <w:sz w:val="20"/>
              </w:rPr>
              <w:t>Monthly Project Summary</w:t>
            </w:r>
          </w:p>
        </w:tc>
        <w:tc>
          <w:tcPr>
            <w:tcW w:type="dxa" w:w="4320"/>
          </w:tcPr>
          <w:p>
            <w:r>
              <w:rPr>
                <w:sz w:val="20"/>
              </w:rPr>
              <w:t>RAG and Trend, milestone status this month, budget status (actual vs forecast), key achievements, key risks/issues escalated to the Board, decisions needed, focus for next month.</w:t>
            </w:r>
          </w:p>
        </w:tc>
      </w:tr>
      <w:tr>
        <w:tc>
          <w:tcPr>
            <w:tcW w:type="dxa" w:w="4320"/>
          </w:tcPr>
          <w:p>
            <w:r>
              <w:rPr>
                <w:sz w:val="20"/>
              </w:rPr>
              <w:t>Portfolio Roll-up to BoM</w:t>
            </w:r>
          </w:p>
        </w:tc>
        <w:tc>
          <w:tcPr>
            <w:tcW w:type="dxa" w:w="4320"/>
          </w:tcPr>
          <w:p>
            <w:r>
              <w:rPr>
                <w:sz w:val="20"/>
              </w:rPr>
              <w:t>One row per active project: Reference, RAG, Trend, milestone status, budget status, key escalation, decision needed, owner.</w:t>
            </w:r>
          </w:p>
        </w:tc>
      </w:tr>
    </w:tbl>
    <w:p>
      <w:pPr>
        <w:pStyle w:val="Heading1"/>
      </w:pPr>
      <w:r>
        <w:t>4. From status to escalation</w:t>
      </w:r>
    </w:p>
    <w:p>
      <w:r>
        <w:t>A status report should never be the only place a risk or issue lives — it's a summary of items already in the RAID Log, not a substitute for logging them. When a project turns Amber or Red:</w:t>
      </w:r>
    </w:p>
    <w:p>
      <w:pPr>
        <w:pStyle w:val="ListBullet"/>
      </w:pPr>
      <w:r>
        <w:t>Check the RAID Log has an entry for whatever is driving the status — if there isn't one, log it before the next report goes out.</w:t>
      </w:r>
    </w:p>
    <w:p>
      <w:pPr>
        <w:pStyle w:val="ListBullet"/>
      </w:pPr>
      <w:r>
        <w:t>Use the escalation thresholds in the RAID Log &amp; Escalation Guide to decide whether this needs SteerCo attention this cycle, or a Change Request.</w:t>
      </w:r>
    </w:p>
    <w:p>
      <w:pPr>
        <w:pStyle w:val="ListBullet"/>
      </w:pPr>
      <w:r>
        <w:t>Carry the same RAG and one-line reason consistently from Weekly Update through to the Portfolio Roll-up — a Board member should be able to trace a Red line straight back to its source risk or issue.</w:t>
      </w:r>
    </w:p>
    <w:p>
      <w:pPr>
        <w:pStyle w:val="ListBullet"/>
      </w:pPr>
      <w:r>
        <w:t>Reconcile the CR Log SteerCo Extract against the CR Tracker before the SteerCo pack is issued — it's a manual re-type each meeting, and this is the one check that keeps the two in sync.</w:t>
      </w:r>
    </w:p>
    <w:p>
      <w:pPr>
        <w:pStyle w:val="Heading1"/>
      </w:pPr>
      <w:r>
        <w:t>5. Good status reporting habits</w:t>
      </w:r>
    </w:p>
    <w:p>
      <w:pPr>
        <w:pStyle w:val="ListBullet"/>
      </w:pPr>
      <w:r>
        <w:t>Report Red early. A Red status that surfaces a problem in time to act on it is far more useful than an Amber that quietly stayed Amber for three months.</w:t>
      </w:r>
    </w:p>
    <w:p>
      <w:pPr>
        <w:pStyle w:val="ListBullet"/>
      </w:pPr>
      <w:r>
        <w:t>Keep the summary to what changed. Stakeholders read these regularly — repeat only what's needed for context, and lead with what's new.</w:t>
      </w:r>
    </w:p>
    <w:p>
      <w:pPr>
        <w:pStyle w:val="ListBullet"/>
      </w:pPr>
      <w:r>
        <w:t>Make decisions needed explicit. If the report is asking the Board or SteerCo for something, say so directly rather than burying it in the narrative.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