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color w:val="8A8A8A"/>
          <w:sz w:val="20"/>
        </w:rPr>
        <w:t>SSLM · Simple Solution, Low Maintenance</w:t>
      </w:r>
    </w:p>
    <w:p>
      <w:pPr>
        <w:jc w:val="center"/>
      </w:pPr>
      <w:r>
        <w:rPr>
          <w:rFonts w:ascii="Calibri" w:hAnsi="Calibri"/>
          <w:b/>
          <w:color w:val="1F3864"/>
          <w:sz w:val="56"/>
        </w:rPr>
        <w:t>The Vendor &amp; Procurement Management Guide</w:t>
      </w:r>
    </w:p>
    <w:p>
      <w:pPr>
        <w:jc w:val="center"/>
      </w:pPr>
      <w:r>
        <w:rPr>
          <w:i/>
          <w:color w:val="595959"/>
          <w:sz w:val="26"/>
        </w:rPr>
        <w:t>Selecting, onboarding, managing, and closing out external vendors</w:t>
      </w:r>
    </w:p>
    <w:p>
      <w:r>
        <w:t>Purpose. Vendors deliver work a project depends on, but sit outside the organisation's direct control — which makes them a common source of schedule and quality risk if they're managed informally. This guide sets out a lightweight approach to selecting, onboarding, managing, and closing out a vendor using the tools already in the model, rather than a separate procurement system.</w:t>
      </w:r>
    </w:p>
    <w:p>
      <w:r>
        <w:t>What's inside: selecting a vendor, onboarding, day-to-day management, monitoring vendor risk and performance, handling changes to vendor scope, closing out an engagement, and using the Vendor Register.</w:t>
      </w:r>
    </w:p>
    <w:p>
      <w:pPr>
        <w:pStyle w:val="Heading1"/>
      </w:pPr>
      <w:r>
        <w:t>1. Selecting a vendor</w:t>
      </w:r>
    </w:p>
    <w:p>
      <w:r>
        <w:t>Keep selection proportionate to what's at stake. At minimum:</w:t>
      </w:r>
    </w:p>
    <w:p>
      <w:pPr>
        <w:pStyle w:val="ListBullet"/>
      </w:pPr>
      <w:r>
        <w:t>Define the requirement in one page — what needs to be delivered, by when, and to what standard.</w:t>
      </w:r>
    </w:p>
    <w:p>
      <w:pPr>
        <w:pStyle w:val="ListBullet"/>
      </w:pPr>
      <w:r>
        <w:t>Evaluate options against a short, consistent set of criteria — cost, capability, delivery risk, and fit with how the project already works.</w:t>
      </w:r>
    </w:p>
    <w:p>
      <w:pPr>
        <w:pStyle w:val="ListBullet"/>
      </w:pPr>
      <w:r>
        <w:t>Record the decision. Log it in the Decisions log with its own Decision ID, including why the chosen vendor was selected over the alternatives.</w:t>
      </w:r>
    </w:p>
    <w:p>
      <w:pPr>
        <w:pStyle w:val="Heading1"/>
      </w:pPr>
      <w:r>
        <w:t>2. Onboarding a vendor</w:t>
      </w:r>
    </w:p>
    <w:p>
      <w:pPr>
        <w:pStyle w:val="ListBullet"/>
      </w:pPr>
      <w:r>
        <w:t>File the contract or statement of work in the project's Supporting &amp; Technical Documents folder — see the Version Control &amp; Storage Guide.</w:t>
      </w:r>
    </w:p>
    <w:p>
      <w:pPr>
        <w:pStyle w:val="ListBullet"/>
      </w:pPr>
      <w:r>
        <w:t>Add the vendor to the Vendor Register, with the engagement's scope, dates, and key contact.</w:t>
      </w:r>
    </w:p>
    <w:p>
      <w:pPr>
        <w:pStyle w:val="ListBullet"/>
      </w:pPr>
      <w:r>
        <w:t>Add the vendor to the Stakeholder Map and Communication Plan — most vendors sit in Monitor day to day, moving to Manage Closely around their delivery window. See the Stakeholder Management, RACI &amp; Communication Guide.</w:t>
      </w:r>
    </w:p>
    <w:p>
      <w:pPr>
        <w:pStyle w:val="ListBullet"/>
      </w:pPr>
      <w:r>
        <w:t>Reflect the vendor's deliverables as milestones or dependencies in the Project Plan &amp; Schedule, so their delivery is visible on the same critical path as everything else.</w:t>
      </w:r>
    </w:p>
    <w:p>
      <w:pPr>
        <w:pStyle w:val="Heading1"/>
      </w:pPr>
      <w:r>
        <w:t>3. Managing vendor delivery day to day</w:t>
      </w:r>
    </w:p>
    <w:p>
      <w:pPr>
        <w:pStyle w:val="ListBullet"/>
      </w:pPr>
      <w:r>
        <w:t>Track vendor-owned milestones and dependencies in the Project Plan exactly like internally-owned ones — a vendor deliverable that slips is a project risk, not just the vendor's problem.</w:t>
      </w:r>
    </w:p>
    <w:p>
      <w:pPr>
        <w:pStyle w:val="ListBullet"/>
      </w:pPr>
      <w:r>
        <w:t>Log vendor-caused risks and issues in the RAID Log as they arise, and escalate using the thresholds in the RAID Log &amp; Escalation Guide — don't wait for a scheduled check-in to raise something urgent.</w:t>
      </w:r>
    </w:p>
    <w:p>
      <w:pPr>
        <w:pStyle w:val="ListBullet"/>
      </w:pPr>
      <w:r>
        <w:t>Hold regular vendor check-ins during active delivery windows, following the Meeting Playbook Guide — cadence should match criticality, not default to a fixed weekly slot regardless of need.</w:t>
      </w:r>
    </w:p>
    <w:p>
      <w:pPr>
        <w:pStyle w:val="Heading1"/>
      </w:pPr>
      <w:r>
        <w:t>4. Monitoring vendor risk and performance</w:t>
      </w:r>
    </w:p>
    <w:p>
      <w:r>
        <w:t>Review each active vendor's performance against a short, consistent set of dimensions — delivery (on time, to scope), quality, responsiveness, and commercial position (on budget, no unexpected claims). Rate each RAG in the Vendor Register and review at a cadence matched to how critical the vendor is to the critical path — weekly during an integration window, monthly otherwise.</w:t>
      </w:r>
    </w:p>
    <w:p>
      <w:pPr>
        <w:pStyle w:val="Heading1"/>
      </w:pPr>
      <w:r>
        <w:t>5. Changes to vendor scope or contract</w:t>
      </w:r>
    </w:p>
    <w:p>
      <w:r>
        <w:t>Any change to a vendor's scope, cost, or timeline goes through the same Change Request process as any other scope, budget, or timeline change — see the Change Request &amp; Idea Intake Guide. Log the contract variation in the Vendor Register alongside the CR number, so the two stay linked.</w:t>
      </w:r>
    </w:p>
    <w:p>
      <w:pPr>
        <w:pStyle w:val="Heading1"/>
      </w:pPr>
      <w:r>
        <w:t>6. Closing out a vendor engagement</w:t>
      </w:r>
    </w:p>
    <w:p>
      <w:pPr>
        <w:pStyle w:val="ListBullet"/>
      </w:pPr>
      <w:r>
        <w:t>Confirm all contracted deliverables have been accepted, not just delivered.</w:t>
      </w:r>
    </w:p>
    <w:p>
      <w:pPr>
        <w:pStyle w:val="ListBullet"/>
      </w:pPr>
      <w:r>
        <w:t>Confirm all contractual obligations are satisfied, including any warranty or support period that extends beyond go-live.</w:t>
      </w:r>
    </w:p>
    <w:p>
      <w:pPr>
        <w:pStyle w:val="ListBullet"/>
      </w:pPr>
      <w:r>
        <w:t>Reconcile final cost against the Cost &amp; Resource Plan — see the Budget, Cost &amp; Resource Management Guide.</w:t>
      </w:r>
    </w:p>
    <w:p>
      <w:pPr>
        <w:pStyle w:val="ListBullet"/>
      </w:pPr>
      <w:r>
        <w:t>Capture vendor-specific lessons in the Lessons Learned Log — what worked, what to do differently next time this vendor (or type of vendor) is engaged.</w:t>
      </w:r>
    </w:p>
    <w:p>
      <w:pPr>
        <w:pStyle w:val="Heading1"/>
      </w:pPr>
      <w:r>
        <w:t>7. Using the Vendor Register</w:t>
      </w:r>
    </w:p>
    <w:p>
      <w:r>
        <w:t>The Vendor Register, in Administration &amp; Reporting, holds one row per vendor engagement — scope, dates, criticality, performance RAG, and links to the RAID items and milestones that vendor touches. It includes a worked example.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1F3864"/>
    <w:rsid w:val="001F3864"/>
    <w:rsid w:val="002E5496"/>
    <w:rsid w:val="002E5496"/>
    <w:rsid w:val="001F386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1F38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