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Version Control &amp; Storage Guide</w:t>
      </w:r>
    </w:p>
    <w:p>
      <w:pPr>
        <w:jc w:val="center"/>
      </w:pPr>
      <w:r>
        <w:rPr>
          <w:i/>
          <w:color w:val="595959"/>
          <w:sz w:val="26"/>
        </w:rPr>
        <w:t>Good document hygiene, and a recommended folder structure for any project</w:t>
      </w:r>
    </w:p>
    <w:p>
      <w:r>
        <w:t>Purpose. A project generates a lot of paper, even when it is mostly digital. This guide sets out how to keep one current version of everything, where superseded versions go, and how to structure a project's folders so anyone — including someone joining midway through — can find what they need without asking.</w:t>
      </w:r>
    </w:p>
    <w:p>
      <w:r>
        <w:t>What's inside: version control principles, a recommended folder structure, day-to-day storage hygiene, where technical and other supporting documents belong, and a reminder to check your own organisation's record-keeping rules.</w:t>
      </w:r>
    </w:p>
    <w:p>
      <w:pPr>
        <w:pStyle w:val="Heading1"/>
      </w:pPr>
      <w:r>
        <w:t>1. Version control principles</w:t>
      </w:r>
    </w:p>
    <w:p>
      <w:pPr>
        <w:pStyle w:val="ListBullet"/>
      </w:pPr>
      <w:r>
        <w:t>One current version. Each document has exactly one current, live copy in its working folder. If you find two, work out which is right and archive the other immediately.</w:t>
      </w:r>
    </w:p>
    <w:p>
      <w:pPr>
        <w:pStyle w:val="ListBullet"/>
      </w:pPr>
      <w:r>
        <w:t>Never delete a superseded version. Move it to Archive (see the folder structure below) instead. The history of how a document changed is often as important as its current content.</w:t>
      </w:r>
    </w:p>
    <w:p>
      <w:pPr>
        <w:pStyle w:val="ListBullet"/>
      </w:pPr>
      <w:r>
        <w:t>Name and number consistently. Every version follows the naming convention in the Document Naming &amp; Numbering Conventions Guide — that convention is what makes "which one is current" obvious without opening the file.</w:t>
      </w:r>
    </w:p>
    <w:p>
      <w:pPr>
        <w:pStyle w:val="ListBullet"/>
      </w:pPr>
      <w:r>
        <w:t>Approval gates a new version. A document only moves to a new whole version number once it has been through whatever approval that document type requires (see the SOP's Document Library for typical owners).</w:t>
      </w:r>
    </w:p>
    <w:p>
      <w:pPr>
        <w:pStyle w:val="ListBullet"/>
      </w:pPr>
      <w:r>
        <w:t>One editor at a time. Avoid two people editing the same working copy at once — agree who holds the pen, especially for shared spreadsheets like the RAID and Tracker Logs.</w:t>
      </w:r>
    </w:p>
    <w:p>
      <w:pPr>
        <w:pStyle w:val="Heading1"/>
      </w:pPr>
      <w:r>
        <w:t>2. Recommended folder structure</w:t>
      </w:r>
    </w:p>
    <w:p>
      <w:r>
        <w:t>Set up one folder per project, named with the Project Reference so it sorts and searches predictably. Inside it, mirror the model's own categories, plus two additions for supporting material and history:</w:t>
      </w:r>
    </w:p>
    <w:p>
      <w:pPr>
        <w:spacing w:after="40"/>
      </w:pPr>
      <w:r>
        <w:rPr>
          <w:rFonts w:ascii="Consolas" w:hAnsi="Consolas"/>
          <w:sz w:val="20"/>
        </w:rPr>
        <w:t>2026-001 Customer Portal Launch/</w:t>
      </w:r>
    </w:p>
    <w:p>
      <w:pPr>
        <w:spacing w:after="40"/>
      </w:pPr>
      <w:r>
        <w:rPr>
          <w:rFonts w:ascii="Consolas" w:hAnsi="Consolas"/>
          <w:sz w:val="20"/>
        </w:rPr>
        <w:t xml:space="preserve">    1. Baseline &amp; Control/</w:t>
      </w:r>
    </w:p>
    <w:p>
      <w:pPr>
        <w:spacing w:after="40"/>
      </w:pPr>
      <w:r>
        <w:rPr>
          <w:rFonts w:ascii="Consolas" w:hAnsi="Consolas"/>
          <w:sz w:val="20"/>
        </w:rPr>
        <w:t xml:space="preserve">        PTIP extract, Business Case, Closure &amp; Handover Report</w:t>
      </w:r>
    </w:p>
    <w:p>
      <w:pPr>
        <w:spacing w:after="40"/>
      </w:pPr>
      <w:r>
        <w:rPr>
          <w:rFonts w:ascii="Consolas" w:hAnsi="Consolas"/>
          <w:sz w:val="20"/>
        </w:rPr>
        <w:t xml:space="preserve">    2. PM Documents-Tools/</w:t>
      </w:r>
    </w:p>
    <w:p>
      <w:pPr>
        <w:spacing w:after="40"/>
      </w:pPr>
      <w:r>
        <w:rPr>
          <w:rFonts w:ascii="Consolas" w:hAnsi="Consolas"/>
          <w:sz w:val="20"/>
        </w:rPr>
        <w:t xml:space="preserve">        Project Plan &amp; Schedule, Change Requests, RAID and Tracker Logs</w:t>
      </w:r>
    </w:p>
    <w:p>
      <w:pPr>
        <w:spacing w:after="40"/>
      </w:pPr>
      <w:r>
        <w:rPr>
          <w:rFonts w:ascii="Consolas" w:hAnsi="Consolas"/>
          <w:sz w:val="20"/>
        </w:rPr>
        <w:t xml:space="preserve">    3. Administration &amp; Reporting/</w:t>
      </w:r>
    </w:p>
    <w:p>
      <w:pPr>
        <w:spacing w:after="40"/>
      </w:pPr>
      <w:r>
        <w:rPr>
          <w:rFonts w:ascii="Consolas" w:hAnsi="Consolas"/>
          <w:sz w:val="20"/>
        </w:rPr>
        <w:t xml:space="preserve">        SteerCo Packs, Weekly Updates, Minutes, Monthly Reports, RACI, Health-Check</w:t>
      </w:r>
    </w:p>
    <w:p>
      <w:pPr>
        <w:spacing w:after="40"/>
      </w:pPr>
      <w:r>
        <w:rPr>
          <w:rFonts w:ascii="Consolas" w:hAnsi="Consolas"/>
          <w:sz w:val="20"/>
        </w:rPr>
        <w:t xml:space="preserve">    4. Supporting &amp; Technical Documents/</w:t>
      </w:r>
    </w:p>
    <w:p>
      <w:pPr>
        <w:spacing w:after="40"/>
      </w:pPr>
      <w:r>
        <w:rPr>
          <w:rFonts w:ascii="Consolas" w:hAnsi="Consolas"/>
          <w:sz w:val="20"/>
        </w:rPr>
        <w:t xml:space="preserve">        Vendor contracts, technical designs, test scripts, training material — anything the project produced or received that isn't an SSLM template</w:t>
      </w:r>
    </w:p>
    <w:p>
      <w:pPr>
        <w:spacing w:after="40"/>
      </w:pPr>
      <w:r>
        <w:rPr>
          <w:rFonts w:ascii="Consolas" w:hAnsi="Consolas"/>
          <w:sz w:val="20"/>
        </w:rPr>
        <w:t xml:space="preserve">    5. Archive/</w:t>
      </w:r>
    </w:p>
    <w:p>
      <w:pPr>
        <w:spacing w:after="40"/>
      </w:pPr>
      <w:r>
        <w:rPr>
          <w:rFonts w:ascii="Consolas" w:hAnsi="Consolas"/>
          <w:sz w:val="20"/>
        </w:rPr>
        <w:t xml:space="preserve">        Superseded versions of any document above, moved here (not deleted) once replaced</w:t>
      </w:r>
    </w:p>
    <w:p>
      <w:r>
        <w:t xml:space="preserve">These are illustrative examples, not exhaustive lists — see the SOP's Document Library (section 4) for the complete set of templates held in each folder.</w:t>
      </w:r>
    </w:p>
    <w:p>
      <w:r>
        <w:t>This structure is deliberately platform-agnostic — it works the same whether the project stores files on a shared drive, SharePoint, Teams, or another system. Guides themselves are reference material and are usually kept once, centrally, rather than copied into every project folder.</w:t>
      </w:r>
    </w:p>
    <w:p>
      <w:pPr>
        <w:pStyle w:val="Heading1"/>
      </w:pPr>
      <w:r>
        <w:t>3. Day-to-day storage hygiene</w:t>
      </w:r>
    </w:p>
    <w:p>
      <w:pPr>
        <w:pStyle w:val="ListBullet"/>
      </w:pPr>
      <w:r>
        <w:t>Keep the working folder lean. If a document is superseded, archive it the same day — don't let old and current versions pile up side by side.</w:t>
      </w:r>
    </w:p>
    <w:p>
      <w:pPr>
        <w:pStyle w:val="ListBullet"/>
      </w:pPr>
      <w:r>
        <w:t>Don't store working copies in email. Email is a distribution channel, not a filing system — save the attachment to the correct folder and work from there.</w:t>
      </w:r>
    </w:p>
    <w:p>
      <w:pPr>
        <w:pStyle w:val="ListBullet"/>
      </w:pPr>
      <w:r>
        <w:t>Match access to role. Use the RACI and Roles Glossary to decide who needs edit access versus read access — not everyone needs to be able to change the Project Plan.</w:t>
      </w:r>
    </w:p>
    <w:p>
      <w:pPr>
        <w:pStyle w:val="ListBullet"/>
      </w:pPr>
      <w:r>
        <w:t>Housekeep at every stage gate. Treat each milestone, and certainly project closure, as a trigger to check nothing is misfiled, duplicated, or missing before moving on.</w:t>
      </w:r>
    </w:p>
    <w:p>
      <w:pPr>
        <w:pStyle w:val="ListBullet"/>
      </w:pPr>
      <w:r>
        <w:t>Make ownership visible. Every folder should have an obvious owner (usually the Project Manager) who is accountable for it being kept tidy.</w:t>
      </w:r>
    </w:p>
    <w:p>
      <w:pPr>
        <w:pStyle w:val="ListBullet"/>
      </w:pPr>
      <w:r>
        <w:t>Flag duplicated content. If the same content appears in two documents by design (e.g. the Weekly Update slide embedded inside the SteerCo Pack), mark one as the source of truth and treat the other as a copy that must be kept in sync — don't let them drift silently.</w:t>
      </w:r>
    </w:p>
    <w:p>
      <w:pPr>
        <w:pStyle w:val="Heading1"/>
      </w:pPr>
      <w:r>
        <w:t>4. Supporting and technical documents</w:t>
      </w:r>
    </w:p>
    <w:p>
      <w:r>
        <w:t>Not everything a project produces is an SSLM artefact. Architecture and technical design documents, vendor contracts and statements of work, test scripts and results, training materials, and other non-project-generated reference material all still need a home — that's what the Supporting &amp; Technical Documents folder is for. Apply the same naming convention to these documents so they stay consistent with everything else, even though they aren't part of the core template set.</w:t>
      </w:r>
      <w:r>
        <w:rPr>
          <w:rFonts w:ascii="Calibri" w:hAnsi="Calibri"/>
          <w:sz w:val="22"/>
        </w:rPr>
        <w:t xml:space="preserve"> See the Vendor &amp; Procurement Management Guide for how vendor engagements themselves are tracked.</w:t>
      </w:r>
    </w:p>
    <w:p>
      <w:pPr>
        <w:pStyle w:val="Heading1"/>
      </w:pPr>
      <w:r>
        <w:t>5. Retention and compliance</w:t>
      </w:r>
    </w:p>
    <w:p>
      <w:r>
        <w:t>SSLM does not set retention periods — that is a matter for your own organisation's document management and records retention policy, which may vary by document type and jurisdiction. Before closing a project, check that policy and confirm where the final record set will be archived and for how long. The Project Closure &amp; Handover Report is the natural place to record that decision.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