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95959"/>
          <w:sz w:val="18"/>
          <w:szCs w:val="18"/>
        </w:rPr>
        <w:t xml:space="preserve">SSLM · Simple Solution, Low Maintenance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1F3864"/>
          <w:sz w:val="38"/>
          <w:szCs w:val="38"/>
        </w:rPr>
        <w:t xml:space="preserve">Why SSLM?</w:t>
      </w:r>
    </w:p>
    <w:p>
      <w:pPr>
        <w:pBdr>
          <w:bottom w:val="single" w:color="1F3864" w:sz="6" w:space="6"/>
        </w:pBdr>
        <w:spacing w:after="180"/>
      </w:pPr>
      <w:r>
        <w:rPr>
          <w:rFonts w:ascii="Calibri" w:cs="Calibri" w:eastAsia="Calibri" w:hAnsi="Calibri"/>
          <w:b w:val="false"/>
          <w:bCs w:val="false"/>
          <w:i/>
          <w:iCs/>
          <w:color w:val="595959"/>
          <w:sz w:val="22"/>
          <w:szCs w:val="22"/>
        </w:rPr>
        <w:t xml:space="preserve">The case for a Simple Solution, Low Maintenance approach — a leadership summary</w:t>
      </w:r>
    </w:p>
    <w:p>
      <w:pPr>
        <w:spacing w:after="140" w:before="0" w:line="27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1"/>
          <w:szCs w:val="21"/>
        </w:rPr>
        <w:t xml:space="preserve">SSLM turns project management from scattered documents, meetings and personal styles into </w:t>
      </w: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1"/>
          <w:szCs w:val="21"/>
        </w:rPr>
        <w:t xml:space="preserve">one consistent, traceable system any team can pick up as-is</w:t>
      </w: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1"/>
          <w:szCs w:val="21"/>
        </w:rPr>
        <w:t xml:space="preserve"> — giving leaders honest visibility, least-sufficient governance, and proof that projects were worth doing.</w:t>
      </w:r>
    </w:p>
    <w:p>
      <w:pPr>
        <w:pStyle w:val="Heading1"/>
        <w:spacing w:after="110" w:before="240"/>
      </w:pPr>
      <w:r>
        <w:rPr>
          <w:rFonts w:ascii="Calibri" w:cs="Calibri" w:eastAsia="Calibri" w:hAnsi="Calibri"/>
          <w:b/>
          <w:bCs/>
          <w:color w:val="1F3864"/>
          <w:sz w:val="25"/>
          <w:szCs w:val="25"/>
        </w:rPr>
        <w:t xml:space="preserve">What it improves</w:t>
      </w:r>
    </w:p>
    <w:p>
      <w:pPr>
        <w:pStyle w:val="ListParagraph"/>
        <w:numPr>
          <w:ilvl w:val="0"/>
          <w:numId w:val="1"/>
        </w:numPr>
        <w:spacing w:after="80" w:line="264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1"/>
          <w:szCs w:val="21"/>
        </w:rPr>
        <w:t xml:space="preserve">Trust in the numbers —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1"/>
          <w:szCs w:val="21"/>
        </w:rPr>
        <w:t xml:space="preserve">one honest status rolls up from project to board on a fixed template, and any red line traces straight back to its source risk.</w:t>
      </w:r>
    </w:p>
    <w:p>
      <w:pPr>
        <w:pStyle w:val="ListParagraph"/>
        <w:numPr>
          <w:ilvl w:val="0"/>
          <w:numId w:val="1"/>
        </w:numPr>
        <w:spacing w:after="80" w:line="264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1"/>
          <w:szCs w:val="21"/>
        </w:rPr>
        <w:t xml:space="preserve">One source of truth —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1"/>
          <w:szCs w:val="21"/>
        </w:rPr>
        <w:t xml:space="preserve">every document carries a single Project Reference, so a project's whole story is reconstructable and audit-ready.</w:t>
      </w:r>
    </w:p>
    <w:p>
      <w:pPr>
        <w:pStyle w:val="ListParagraph"/>
        <w:numPr>
          <w:ilvl w:val="0"/>
          <w:numId w:val="1"/>
        </w:numPr>
        <w:spacing w:after="80" w:line="264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1"/>
          <w:szCs w:val="21"/>
        </w:rPr>
        <w:t xml:space="preserve">Governance that scales without overhead —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1"/>
          <w:szCs w:val="21"/>
        </w:rPr>
        <w:t xml:space="preserve">start light and add process only on a real trigger, from a solo project up to a portfolio office.</w:t>
      </w:r>
    </w:p>
    <w:p>
      <w:pPr>
        <w:pStyle w:val="ListParagraph"/>
        <w:numPr>
          <w:ilvl w:val="0"/>
          <w:numId w:val="1"/>
        </w:numPr>
        <w:spacing w:after="80" w:line="264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1"/>
          <w:szCs w:val="21"/>
        </w:rPr>
        <w:t xml:space="preserve">Money follows strategy —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1"/>
          <w:szCs w:val="21"/>
        </w:rPr>
        <w:t xml:space="preserve">initiatives are prioritised by strategic fit and value, and projects that no longer justify their cost are stopped — sunk cost notwithstanding.</w:t>
      </w:r>
    </w:p>
    <w:p>
      <w:pPr>
        <w:pStyle w:val="ListParagraph"/>
        <w:numPr>
          <w:ilvl w:val="0"/>
          <w:numId w:val="1"/>
        </w:numPr>
        <w:spacing w:after="80" w:line="264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1"/>
          <w:szCs w:val="21"/>
        </w:rPr>
        <w:t xml:space="preserve">Proof of value —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1"/>
          <w:szCs w:val="21"/>
        </w:rPr>
        <w:t xml:space="preserve">benefits are baselined before go-live and checked at their horizon, with cashable savings separated from notional ones.</w:t>
      </w:r>
    </w:p>
    <w:p>
      <w:pPr>
        <w:pStyle w:val="ListParagraph"/>
        <w:numPr>
          <w:ilvl w:val="0"/>
          <w:numId w:val="1"/>
        </w:numPr>
        <w:spacing w:after="80" w:line="264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1"/>
          <w:szCs w:val="21"/>
        </w:rPr>
        <w:t xml:space="preserve">Fits what you already do —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1"/>
          <w:szCs w:val="21"/>
        </w:rPr>
        <w:t xml:space="preserve">methodology-agnostic, and it sits over PRINCE2, PMBOK and SAFe rather than replacing them.</w:t>
      </w:r>
    </w:p>
    <w:p>
      <w:pPr>
        <w:pStyle w:val="Heading1"/>
        <w:spacing w:after="110" w:before="240"/>
      </w:pPr>
      <w:r>
        <w:rPr>
          <w:rFonts w:ascii="Calibri" w:cs="Calibri" w:eastAsia="Calibri" w:hAnsi="Calibri"/>
          <w:b/>
          <w:bCs/>
          <w:color w:val="1F3864"/>
          <w:sz w:val="25"/>
          <w:szCs w:val="25"/>
        </w:rPr>
        <w:t xml:space="preserve">What it improves, by delivery method</w:t>
      </w:r>
    </w:p>
    <w:tbl>
      <w:tblPr>
        <w:tblW w:type="dxa" w:w="9706"/>
        <w:tblBorders>
          <w:top w:val="single" w:color="C9C2DA" w:sz="4"/>
          <w:left w:val="single" w:color="C9C2DA" w:sz="4"/>
          <w:bottom w:val="single" w:color="C9C2DA" w:sz="4"/>
          <w:right w:val="single" w:color="C9C2DA" w:sz="4"/>
          <w:insideH w:val="single" w:color="C9C2DA" w:sz="4"/>
          <w:insideV w:val="single" w:color="C9C2DA" w:sz="4"/>
        </w:tblBorders>
      </w:tblPr>
      <w:tblGrid>
        <w:gridCol w:w="1420"/>
        <w:gridCol w:w="3560"/>
        <w:gridCol w:w="4726"/>
      </w:tblGrid>
      <w:tr>
        <w:trPr>
          <w:tblHeader/>
        </w:trPr>
        <w:tc>
          <w:tcPr>
            <w:tcW w:type="auto" w:w="0"/>
            <w:shd w:fill="D9E2F3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864"/>
                <w:sz w:val="17"/>
                <w:szCs w:val="17"/>
              </w:rPr>
              <w:t xml:space="preserve">Method</w:t>
            </w:r>
          </w:p>
        </w:tc>
        <w:tc>
          <w:tcPr>
            <w:tcW w:type="auto" w:w="0"/>
            <w:shd w:fill="D9E2F3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864"/>
                <w:sz w:val="17"/>
                <w:szCs w:val="17"/>
              </w:rPr>
              <w:t xml:space="preserve">The problem it's prone to</w:t>
            </w:r>
          </w:p>
        </w:tc>
        <w:tc>
          <w:tcPr>
            <w:tcW w:type="auto" w:w="0"/>
            <w:shd w:fill="D9E2F3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864"/>
                <w:sz w:val="17"/>
                <w:szCs w:val="17"/>
              </w:rPr>
              <w:t xml:space="preserve">What SSLM adds</w:t>
            </w:r>
          </w:p>
        </w:tc>
      </w:tr>
      <w:tr>
        <w:trPr>
          <w:tblHeader w:val="false"/>
        </w:trPr>
        <w:tc>
          <w:tcPr>
            <w:tcW w:type="auto" w:w="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17"/>
                <w:szCs w:val="17"/>
              </w:rPr>
              <w:t xml:space="preserve">Waterfall</w:t>
            </w:r>
          </w:p>
        </w:tc>
        <w:tc>
          <w:tcPr>
            <w:tcW w:type="auto" w:w="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Slippage stays hidden behind an optimistic “green” until late.</w:t>
            </w:r>
          </w:p>
        </w:tc>
        <w:tc>
          <w:tcPr>
            <w:tcW w:type="auto" w:w="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A dependency-sequenced critical-path plan makes real slippage visible early; RAG reflects the worst key milestone and the real colour is reported; assurance re-tests the business case at every gate, not just at approval.</w:t>
            </w:r>
          </w:p>
        </w:tc>
      </w:tr>
      <w:tr>
        <w:trPr>
          <w:tblHeader w:val="false"/>
        </w:trPr>
        <w:tc>
          <w:tcPr>
            <w:tcW w:type="auto" w:w="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17"/>
                <w:szCs w:val="17"/>
              </w:rPr>
              <w:t xml:space="preserve">Agile</w:t>
            </w:r>
          </w:p>
        </w:tc>
        <w:tc>
          <w:tcPr>
            <w:tcW w:type="auto" w:w="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Hard to govern or roll up to a board; scope drifts; benefits go unmeasured.</w:t>
            </w:r>
          </w:p>
        </w:tc>
        <w:tc>
          <w:tcPr>
            <w:tcW w:type="auto" w:w="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A thin governance and reporting skin over the team's own delivery — re-prioritising the backlog inside the baseline needs no change request, team telemetry stays with the team, and benefits are still baselined and checked.</w:t>
            </w:r>
          </w:p>
        </w:tc>
      </w:tr>
      <w:tr>
        <w:trPr>
          <w:tblHeader w:val="false"/>
        </w:trPr>
        <w:tc>
          <w:tcPr>
            <w:tcW w:type="auto" w:w="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17"/>
                <w:szCs w:val="17"/>
              </w:rPr>
              <w:t xml:space="preserve">Value stream</w:t>
            </w:r>
          </w:p>
        </w:tc>
        <w:tc>
          <w:tcPr>
            <w:tcW w:type="auto" w:w="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Boards drown in flow metrics; funding continues on autopilot.</w:t>
            </w:r>
          </w:p>
        </w:tc>
        <w:tc>
          <w:tcPr>
            <w:tcW w:type="auto" w:w="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An altitude break — the board sees five decision elements, not telemetry; the Executive Stream One-Pager makes streams honest and comparable; investment is reviewed as “is spend still buying flow?” (fund / hold / stop).</w:t>
            </w:r>
          </w:p>
        </w:tc>
      </w:tr>
    </w:tbl>
    <w:p>
      <w:pPr>
        <w:spacing w:after="120"/>
      </w:pPr>
    </w:p>
    <w:p>
      <w:pPr>
        <w:pStyle w:val="Heading1"/>
        <w:spacing w:after="110" w:before="240"/>
      </w:pPr>
      <w:r>
        <w:rPr>
          <w:rFonts w:ascii="Calibri" w:cs="Calibri" w:eastAsia="Calibri" w:hAnsi="Calibri"/>
          <w:b/>
          <w:bCs/>
          <w:color w:val="1F3864"/>
          <w:sz w:val="25"/>
          <w:szCs w:val="25"/>
        </w:rPr>
        <w:t xml:space="preserve">What it asks in return</w:t>
      </w:r>
    </w:p>
    <w:p>
      <w:pPr>
        <w:spacing w:after="140" w:before="0" w:line="27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1"/>
          <w:szCs w:val="21"/>
        </w:rPr>
        <w:t xml:space="preserve">The templates make the right behaviour easy, but they don't enforce it. The gains depend on three disciplines: reporting the real status, logging risks and issues as they happen, and respecting the decision to stop. SSLM's value is proportional to that honesty.</w:t>
      </w:r>
    </w:p>
    <w:p>
      <w:pPr>
        <w:spacing w:after="140" w:before="60" w:line="27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1"/>
          <w:szCs w:val="21"/>
        </w:rPr>
        <w:t xml:space="preserve">In one line: </w:t>
      </w:r>
      <w:r>
        <w:rPr>
          <w:rFonts w:ascii="Calibri" w:cs="Calibri" w:eastAsia="Calibri" w:hAnsi="Calibri"/>
          <w:b/>
          <w:bCs/>
          <w:i/>
          <w:iCs/>
          <w:color w:val="1A1A1A"/>
          <w:sz w:val="21"/>
          <w:szCs w:val="21"/>
        </w:rPr>
        <w:t xml:space="preserve">least process, honestly applied, for the most traceable result.</w:t>
      </w:r>
    </w:p>
    <w:p>
      <w:pPr>
        <w:spacing w:after="140" w:before="0" w:line="270"/>
      </w:pPr>
      <w:r>
        <w:rPr>
          <w:rFonts w:ascii="Calibri" w:cs="Calibri" w:eastAsia="Calibri" w:hAnsi="Calibri"/>
          <w:b w:val="false"/>
          <w:bCs w:val="false"/>
          <w:i/>
          <w:iCs/>
          <w:color w:val="595959"/>
          <w:sz w:val="18"/>
          <w:szCs w:val="18"/>
        </w:rPr>
        <w:t xml:space="preserve">See the SSLM Standard Operating Procedure for the full model, and the Delivery Methodologies Guide for how SSLM runs under Waterfall, Agile and value streams.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5496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5496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3864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5496"/>
    </w:rPr>
  </w:style>
  <w:style w:type="paragraph" w:styleId="Heading5">
    <w:name w:val="Heading 5"/>
    <w:basedOn w:val="Normal"/>
    <w:next w:val="Normal"/>
    <w:qFormat/>
    <w:rPr>
      <w:color w:val="2E5496"/>
    </w:rPr>
  </w:style>
  <w:style w:type="paragraph" w:styleId="Heading6">
    <w:name w:val="Heading 6"/>
    <w:basedOn w:val="Normal"/>
    <w:next w:val="Normal"/>
    <w:qFormat/>
    <w:rPr>
      <w:color w:val="1F3864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2E5496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2026-07-11T07:16:41.401Z</dcterms:created>
  <dcterms:modified xsi:type="dcterms:W3CDTF">2026-07-11T07:16:41.402Z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